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6630"/>
        </w:tabs>
        <w:spacing w:line="360" w:lineRule="auto"/>
        <w:rPr>
          <w:rFonts w:ascii="黑体" w:hAnsi="黑体" w:eastAsia="黑体"/>
          <w:color w:val="000000"/>
          <w:sz w:val="32"/>
        </w:rPr>
      </w:pPr>
    </w:p>
    <w:p>
      <w:pPr>
        <w:spacing w:line="560" w:lineRule="exact"/>
        <w:jc w:val="center"/>
        <w:rPr>
          <w:rFonts w:hint="eastAsia" w:ascii="方正小标宋简体" w:eastAsia="方正小标宋简体"/>
          <w:color w:val="000000"/>
          <w:sz w:val="36"/>
          <w:szCs w:val="36"/>
        </w:rPr>
      </w:pPr>
      <w:r>
        <w:rPr>
          <w:rFonts w:hint="eastAsia" w:ascii="方正小标宋简体" w:eastAsia="方正小标宋简体"/>
          <w:color w:val="000000"/>
          <w:sz w:val="36"/>
          <w:szCs w:val="36"/>
          <w:lang w:eastAsia="zh-CN"/>
        </w:rPr>
        <w:t>首都师范大学</w:t>
      </w:r>
      <w:r>
        <w:rPr>
          <w:rFonts w:hint="eastAsia" w:ascii="方正小标宋简体" w:eastAsia="方正小标宋简体"/>
          <w:color w:val="000000"/>
          <w:sz w:val="36"/>
          <w:szCs w:val="36"/>
        </w:rPr>
        <w:t>202</w:t>
      </w:r>
      <w:r>
        <w:rPr>
          <w:rFonts w:ascii="方正小标宋简体" w:eastAsia="方正小标宋简体"/>
          <w:color w:val="000000"/>
          <w:sz w:val="36"/>
          <w:szCs w:val="36"/>
        </w:rPr>
        <w:t>1</w:t>
      </w:r>
      <w:r>
        <w:rPr>
          <w:rFonts w:hint="eastAsia" w:ascii="方正小标宋简体" w:eastAsia="方正小标宋简体"/>
          <w:color w:val="000000"/>
          <w:sz w:val="36"/>
          <w:szCs w:val="36"/>
        </w:rPr>
        <w:t>年财政预算信息</w:t>
      </w:r>
    </w:p>
    <w:p>
      <w:pPr>
        <w:spacing w:line="560" w:lineRule="exact"/>
        <w:jc w:val="center"/>
        <w:rPr>
          <w:rFonts w:ascii="方正小标宋简体" w:eastAsia="方正小标宋简体"/>
          <w:color w:val="000000"/>
          <w:sz w:val="32"/>
          <w:szCs w:val="32"/>
        </w:rPr>
      </w:pPr>
      <w:r>
        <w:rPr>
          <w:rFonts w:hint="eastAsia" w:ascii="方正小标宋简体" w:eastAsia="方正小标宋简体"/>
          <w:color w:val="000000"/>
          <w:sz w:val="32"/>
          <w:szCs w:val="32"/>
        </w:rPr>
        <w:t>目   录</w:t>
      </w:r>
    </w:p>
    <w:p>
      <w:pPr>
        <w:spacing w:line="240" w:lineRule="exact"/>
        <w:jc w:val="center"/>
        <w:rPr>
          <w:rFonts w:ascii="方正小标宋简体" w:eastAsia="方正小标宋简体"/>
          <w:color w:val="000000"/>
          <w:sz w:val="32"/>
          <w:szCs w:val="32"/>
        </w:rPr>
      </w:pPr>
    </w:p>
    <w:p>
      <w:pPr>
        <w:spacing w:line="560" w:lineRule="exact"/>
        <w:rPr>
          <w:rFonts w:ascii="仿宋_GB2312" w:eastAsia="仿宋_GB2312"/>
          <w:color w:val="000000"/>
          <w:sz w:val="32"/>
          <w:szCs w:val="32"/>
        </w:rPr>
      </w:pPr>
      <w:r>
        <w:rPr>
          <w:rFonts w:hint="eastAsia" w:ascii="仿宋_GB2312" w:eastAsia="仿宋_GB2312"/>
          <w:color w:val="000000"/>
          <w:sz w:val="32"/>
          <w:szCs w:val="32"/>
        </w:rPr>
        <w:t>第一部分 202</w:t>
      </w:r>
      <w:r>
        <w:rPr>
          <w:rFonts w:ascii="仿宋_GB2312" w:eastAsia="仿宋_GB2312"/>
          <w:color w:val="000000"/>
          <w:sz w:val="32"/>
          <w:szCs w:val="32"/>
        </w:rPr>
        <w:t>1</w:t>
      </w:r>
      <w:r>
        <w:rPr>
          <w:rFonts w:hint="eastAsia" w:ascii="仿宋_GB2312" w:eastAsia="仿宋_GB2312"/>
          <w:color w:val="000000"/>
          <w:sz w:val="32"/>
          <w:szCs w:val="32"/>
        </w:rPr>
        <w:t>年度单位预算情况说明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一、单位基本情况</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二、202</w:t>
      </w:r>
      <w:r>
        <w:rPr>
          <w:rFonts w:ascii="仿宋_GB2312" w:eastAsia="仿宋_GB2312"/>
          <w:color w:val="000000"/>
          <w:sz w:val="32"/>
          <w:szCs w:val="32"/>
        </w:rPr>
        <w:t>1</w:t>
      </w:r>
      <w:r>
        <w:rPr>
          <w:rFonts w:hint="eastAsia" w:ascii="仿宋_GB2312" w:eastAsia="仿宋_GB2312"/>
          <w:color w:val="000000"/>
          <w:sz w:val="32"/>
          <w:szCs w:val="32"/>
        </w:rPr>
        <w:t>年收入及支出总体情况</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三、主要支出情况</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四、单位“三公”经费财政拨款预算说明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五、其他情况说明</w:t>
      </w:r>
    </w:p>
    <w:p>
      <w:p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六、名词解释</w:t>
      </w:r>
    </w:p>
    <w:p>
      <w:pPr>
        <w:spacing w:line="560" w:lineRule="exact"/>
        <w:rPr>
          <w:rFonts w:ascii="仿宋_GB2312" w:eastAsia="仿宋_GB2312"/>
          <w:color w:val="000000"/>
          <w:sz w:val="32"/>
          <w:szCs w:val="32"/>
        </w:rPr>
      </w:pPr>
      <w:r>
        <w:rPr>
          <w:rFonts w:hint="eastAsia" w:ascii="仿宋_GB2312" w:eastAsia="仿宋_GB2312"/>
          <w:color w:val="000000"/>
          <w:sz w:val="32"/>
          <w:szCs w:val="32"/>
        </w:rPr>
        <w:t>第二部分 202</w:t>
      </w:r>
      <w:r>
        <w:rPr>
          <w:rFonts w:ascii="仿宋_GB2312" w:eastAsia="仿宋_GB2312"/>
          <w:color w:val="000000"/>
          <w:sz w:val="32"/>
          <w:szCs w:val="32"/>
        </w:rPr>
        <w:t>1</w:t>
      </w:r>
      <w:r>
        <w:rPr>
          <w:rFonts w:hint="eastAsia" w:ascii="仿宋_GB2312" w:eastAsia="仿宋_GB2312"/>
          <w:color w:val="000000"/>
          <w:sz w:val="32"/>
          <w:szCs w:val="32"/>
        </w:rPr>
        <w:t>年度单位预算报表</w:t>
      </w:r>
    </w:p>
    <w:p>
      <w:pPr>
        <w:autoSpaceDE w:val="0"/>
        <w:autoSpaceDN w:val="0"/>
        <w:adjustRightInd w:val="0"/>
        <w:spacing w:line="560" w:lineRule="exact"/>
        <w:ind w:firstLine="640" w:firstLineChars="200"/>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一、收支总表</w:t>
      </w:r>
    </w:p>
    <w:p>
      <w:pPr>
        <w:autoSpaceDE w:val="0"/>
        <w:autoSpaceDN w:val="0"/>
        <w:adjustRightInd w:val="0"/>
        <w:spacing w:line="560" w:lineRule="exact"/>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 xml:space="preserve">    二、收入总表    </w:t>
      </w:r>
    </w:p>
    <w:p>
      <w:pPr>
        <w:autoSpaceDE w:val="0"/>
        <w:autoSpaceDN w:val="0"/>
        <w:adjustRightInd w:val="0"/>
        <w:spacing w:line="560" w:lineRule="exact"/>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 xml:space="preserve">    三、支出总表</w:t>
      </w:r>
    </w:p>
    <w:p>
      <w:pPr>
        <w:autoSpaceDE w:val="0"/>
        <w:autoSpaceDN w:val="0"/>
        <w:adjustRightInd w:val="0"/>
        <w:spacing w:line="560" w:lineRule="exact"/>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 xml:space="preserve">    四、政府采购预算明细表</w:t>
      </w:r>
    </w:p>
    <w:p>
      <w:pPr>
        <w:autoSpaceDE w:val="0"/>
        <w:autoSpaceDN w:val="0"/>
        <w:adjustRightInd w:val="0"/>
        <w:spacing w:line="560" w:lineRule="exact"/>
        <w:ind w:firstLine="640" w:firstLineChars="200"/>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五、财政拨款收支总表</w:t>
      </w:r>
    </w:p>
    <w:p>
      <w:pPr>
        <w:autoSpaceDE w:val="0"/>
        <w:autoSpaceDN w:val="0"/>
        <w:adjustRightInd w:val="0"/>
        <w:spacing w:line="560" w:lineRule="exact"/>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 xml:space="preserve">    六、一般公共预算财政拨款支出表</w:t>
      </w:r>
    </w:p>
    <w:p>
      <w:pPr>
        <w:autoSpaceDE w:val="0"/>
        <w:autoSpaceDN w:val="0"/>
        <w:adjustRightInd w:val="0"/>
        <w:spacing w:line="560" w:lineRule="exact"/>
        <w:jc w:val="left"/>
        <w:rPr>
          <w:rFonts w:ascii="仿宋_GB2312" w:eastAsia="仿宋_GB2312" w:cs="宋体"/>
          <w:color w:val="000000"/>
          <w:spacing w:val="-16"/>
          <w:kern w:val="0"/>
          <w:sz w:val="32"/>
          <w:szCs w:val="32"/>
          <w:lang w:val="zh-CN"/>
        </w:rPr>
      </w:pPr>
      <w:r>
        <w:rPr>
          <w:rFonts w:hint="eastAsia" w:ascii="仿宋_GB2312" w:eastAsia="仿宋_GB2312" w:cs="宋体"/>
          <w:color w:val="000000"/>
          <w:kern w:val="0"/>
          <w:sz w:val="32"/>
          <w:szCs w:val="32"/>
          <w:lang w:val="zh-CN"/>
        </w:rPr>
        <w:t xml:space="preserve">    </w:t>
      </w:r>
      <w:r>
        <w:rPr>
          <w:rFonts w:hint="eastAsia" w:ascii="仿宋_GB2312" w:eastAsia="仿宋_GB2312" w:cs="宋体"/>
          <w:color w:val="000000"/>
          <w:spacing w:val="-16"/>
          <w:kern w:val="0"/>
          <w:sz w:val="32"/>
          <w:szCs w:val="32"/>
          <w:lang w:val="zh-CN"/>
        </w:rPr>
        <w:t>七、一般公共预算财政拨款基本支出表</w:t>
      </w:r>
    </w:p>
    <w:p>
      <w:pPr>
        <w:autoSpaceDE w:val="0"/>
        <w:autoSpaceDN w:val="0"/>
        <w:adjustRightInd w:val="0"/>
        <w:spacing w:line="560" w:lineRule="exact"/>
        <w:ind w:firstLine="720" w:firstLineChars="250"/>
        <w:jc w:val="left"/>
        <w:rPr>
          <w:rFonts w:ascii="仿宋_GB2312" w:eastAsia="仿宋_GB2312" w:cs="宋体"/>
          <w:color w:val="000000"/>
          <w:spacing w:val="-16"/>
          <w:kern w:val="0"/>
          <w:sz w:val="32"/>
          <w:szCs w:val="32"/>
          <w:lang w:val="zh-CN"/>
        </w:rPr>
      </w:pPr>
      <w:r>
        <w:rPr>
          <w:rFonts w:hint="eastAsia" w:ascii="仿宋_GB2312" w:eastAsia="仿宋_GB2312" w:cs="宋体"/>
          <w:color w:val="000000"/>
          <w:spacing w:val="-16"/>
          <w:kern w:val="0"/>
          <w:sz w:val="32"/>
          <w:szCs w:val="32"/>
          <w:lang w:val="zh-CN"/>
        </w:rPr>
        <w:t>八、一般公共预算财政拨款项目支出表</w:t>
      </w:r>
    </w:p>
    <w:p>
      <w:pPr>
        <w:autoSpaceDE w:val="0"/>
        <w:autoSpaceDN w:val="0"/>
        <w:adjustRightInd w:val="0"/>
        <w:spacing w:line="560" w:lineRule="exact"/>
        <w:ind w:firstLine="640" w:firstLineChars="200"/>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九、政府性基金预算财政拨款支出表</w:t>
      </w:r>
    </w:p>
    <w:p>
      <w:pPr>
        <w:autoSpaceDE w:val="0"/>
        <w:autoSpaceDN w:val="0"/>
        <w:adjustRightInd w:val="0"/>
        <w:spacing w:line="560" w:lineRule="exact"/>
        <w:ind w:firstLine="640" w:firstLineChars="200"/>
        <w:jc w:val="left"/>
        <w:rPr>
          <w:rFonts w:ascii="仿宋_GB2312" w:eastAsia="仿宋_GB2312" w:cs="宋体"/>
          <w:color w:val="000000"/>
          <w:spacing w:val="-16"/>
          <w:kern w:val="0"/>
          <w:sz w:val="32"/>
          <w:szCs w:val="32"/>
          <w:lang w:val="zh-CN"/>
        </w:rPr>
      </w:pPr>
      <w:r>
        <w:rPr>
          <w:rFonts w:hint="eastAsia" w:ascii="仿宋_GB2312" w:eastAsia="仿宋_GB2312" w:cs="宋体"/>
          <w:color w:val="000000"/>
          <w:kern w:val="0"/>
          <w:sz w:val="32"/>
          <w:szCs w:val="32"/>
          <w:lang w:val="zh-CN"/>
        </w:rPr>
        <w:t>十、国有资本经营预算财政拨款支出表</w:t>
      </w:r>
    </w:p>
    <w:p>
      <w:pPr>
        <w:autoSpaceDE w:val="0"/>
        <w:autoSpaceDN w:val="0"/>
        <w:adjustRightInd w:val="0"/>
        <w:spacing w:line="560" w:lineRule="exact"/>
        <w:ind w:firstLine="576" w:firstLineChars="200"/>
        <w:jc w:val="left"/>
        <w:rPr>
          <w:rFonts w:ascii="仿宋_GB2312" w:eastAsia="仿宋_GB2312" w:cs="宋体"/>
          <w:color w:val="000000"/>
          <w:kern w:val="0"/>
          <w:sz w:val="32"/>
          <w:szCs w:val="32"/>
          <w:lang w:val="zh-CN"/>
        </w:rPr>
      </w:pPr>
      <w:r>
        <w:rPr>
          <w:rFonts w:hint="eastAsia" w:ascii="仿宋_GB2312" w:eastAsia="仿宋_GB2312" w:cs="宋体"/>
          <w:color w:val="000000"/>
          <w:spacing w:val="-16"/>
          <w:kern w:val="0"/>
          <w:sz w:val="32"/>
          <w:szCs w:val="32"/>
          <w:lang w:val="zh-CN"/>
        </w:rPr>
        <w:t>十一、财政拨款（含一般公共预算和政府性基金预算）</w:t>
      </w:r>
      <w:r>
        <w:rPr>
          <w:rFonts w:hint="eastAsia" w:ascii="仿宋_GB2312" w:eastAsia="仿宋_GB2312" w:cs="宋体"/>
          <w:color w:val="000000"/>
          <w:kern w:val="0"/>
          <w:sz w:val="32"/>
          <w:szCs w:val="32"/>
          <w:lang w:val="zh-CN"/>
        </w:rPr>
        <w:t>“三公”经费支出表</w:t>
      </w:r>
    </w:p>
    <w:p>
      <w:pPr>
        <w:autoSpaceDE w:val="0"/>
        <w:autoSpaceDN w:val="0"/>
        <w:adjustRightInd w:val="0"/>
        <w:spacing w:line="560" w:lineRule="exact"/>
        <w:ind w:firstLine="568" w:firstLineChars="200"/>
        <w:jc w:val="left"/>
        <w:rPr>
          <w:rFonts w:hint="eastAsia" w:ascii="仿宋_GB2312" w:eastAsia="仿宋_GB2312" w:cs="宋体"/>
          <w:color w:val="000000"/>
          <w:spacing w:val="-18"/>
          <w:kern w:val="0"/>
          <w:sz w:val="32"/>
          <w:szCs w:val="32"/>
          <w:lang w:val="zh-CN"/>
        </w:rPr>
      </w:pPr>
      <w:r>
        <w:rPr>
          <w:rFonts w:hint="eastAsia" w:ascii="仿宋_GB2312" w:eastAsia="仿宋_GB2312" w:cs="宋体"/>
          <w:color w:val="000000"/>
          <w:spacing w:val="-18"/>
          <w:kern w:val="0"/>
          <w:sz w:val="32"/>
          <w:szCs w:val="32"/>
          <w:lang w:val="zh-CN"/>
        </w:rPr>
        <w:t>十二、政府购买服务预算财政拨款明细表</w:t>
      </w:r>
    </w:p>
    <w:p>
      <w:pPr>
        <w:autoSpaceDE w:val="0"/>
        <w:autoSpaceDN w:val="0"/>
        <w:adjustRightInd w:val="0"/>
        <w:spacing w:line="560" w:lineRule="exact"/>
        <w:ind w:firstLine="568" w:firstLineChars="200"/>
        <w:jc w:val="left"/>
        <w:rPr>
          <w:rFonts w:hint="eastAsia" w:ascii="仿宋_GB2312" w:eastAsia="仿宋_GB2312" w:cs="宋体"/>
          <w:color w:val="000000"/>
          <w:spacing w:val="-18"/>
          <w:kern w:val="0"/>
          <w:sz w:val="32"/>
          <w:szCs w:val="32"/>
          <w:lang w:val="zh-CN"/>
        </w:rPr>
      </w:pPr>
      <w:r>
        <w:rPr>
          <w:rFonts w:hint="eastAsia" w:ascii="仿宋_GB2312" w:eastAsia="仿宋_GB2312" w:cs="宋体"/>
          <w:color w:val="000000"/>
          <w:spacing w:val="-18"/>
          <w:kern w:val="0"/>
          <w:sz w:val="32"/>
          <w:szCs w:val="32"/>
          <w:lang w:val="zh-CN"/>
        </w:rPr>
        <w:t>十三、项目支出绩效目标申报表</w:t>
      </w:r>
    </w:p>
    <w:p>
      <w:pPr>
        <w:spacing w:line="560" w:lineRule="exact"/>
        <w:jc w:val="both"/>
        <w:rPr>
          <w:rFonts w:hint="eastAsia" w:ascii="方正小标宋简体" w:eastAsia="方正小标宋简体"/>
          <w:color w:val="000000"/>
          <w:sz w:val="36"/>
          <w:szCs w:val="36"/>
        </w:rPr>
      </w:pPr>
    </w:p>
    <w:p>
      <w:pPr>
        <w:spacing w:line="560" w:lineRule="exact"/>
        <w:jc w:val="center"/>
        <w:rPr>
          <w:rFonts w:ascii="方正小标宋简体" w:eastAsia="方正小标宋简体"/>
          <w:color w:val="000000"/>
          <w:sz w:val="32"/>
          <w:szCs w:val="32"/>
        </w:rPr>
      </w:pPr>
      <w:r>
        <w:rPr>
          <w:rFonts w:hint="eastAsia" w:ascii="方正小标宋简体" w:eastAsia="方正小标宋简体"/>
          <w:color w:val="000000"/>
          <w:sz w:val="36"/>
          <w:szCs w:val="36"/>
        </w:rPr>
        <w:t>第一部分  2021年</w:t>
      </w:r>
      <w:r>
        <w:rPr>
          <w:rFonts w:hint="eastAsia" w:ascii="方正小标宋简体" w:eastAsia="方正小标宋简体"/>
          <w:color w:val="000000"/>
          <w:sz w:val="36"/>
          <w:szCs w:val="36"/>
          <w:lang w:eastAsia="zh-CN"/>
        </w:rPr>
        <w:t>首都师范大学</w:t>
      </w:r>
      <w:r>
        <w:rPr>
          <w:rFonts w:hint="eastAsia" w:ascii="方正小标宋简体" w:eastAsia="方正小标宋简体"/>
          <w:color w:val="000000"/>
          <w:sz w:val="36"/>
          <w:szCs w:val="36"/>
        </w:rPr>
        <w:t>预算情况说明</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黑体" w:hAnsi="黑体" w:eastAsia="黑体"/>
          <w:color w:val="000000"/>
          <w:sz w:val="32"/>
          <w:szCs w:val="32"/>
        </w:rPr>
      </w:pPr>
    </w:p>
    <w:p>
      <w:pPr>
        <w:spacing w:line="560" w:lineRule="exact"/>
        <w:ind w:firstLine="640" w:firstLineChars="200"/>
        <w:rPr>
          <w:rFonts w:ascii="黑体" w:hAnsi="黑体" w:eastAsia="黑体"/>
          <w:color w:val="000000"/>
          <w:sz w:val="32"/>
          <w:szCs w:val="32"/>
        </w:rPr>
      </w:pPr>
      <w:r>
        <w:rPr>
          <w:rFonts w:hint="eastAsia" w:ascii="黑体" w:hAnsi="黑体" w:eastAsia="黑体"/>
          <w:color w:val="000000"/>
          <w:sz w:val="32"/>
          <w:szCs w:val="32"/>
        </w:rPr>
        <w:t>一、单位基本情况</w:t>
      </w:r>
    </w:p>
    <w:p>
      <w:pPr>
        <w:numPr>
          <w:ilvl w:val="0"/>
          <w:numId w:val="0"/>
        </w:numPr>
        <w:ind w:firstLine="320" w:firstLineChars="100"/>
        <w:rPr>
          <w:rFonts w:hint="eastAsia" w:ascii="楷体" w:hAnsi="楷体" w:eastAsia="楷体" w:cs="楷体"/>
          <w:color w:val="000000"/>
          <w:sz w:val="32"/>
          <w:szCs w:val="32"/>
          <w:lang w:eastAsia="zh-CN"/>
        </w:rPr>
      </w:pPr>
      <w:r>
        <w:rPr>
          <w:rFonts w:hint="eastAsia" w:ascii="楷体" w:hAnsi="楷体" w:eastAsia="楷体" w:cs="楷体"/>
          <w:color w:val="000000"/>
          <w:sz w:val="32"/>
          <w:szCs w:val="32"/>
          <w:lang w:eastAsia="zh-CN"/>
        </w:rPr>
        <w:t>（一）本单位职责</w:t>
      </w:r>
    </w:p>
    <w:p>
      <w:pPr>
        <w:spacing w:line="560" w:lineRule="exact"/>
        <w:ind w:firstLine="640" w:firstLineChars="200"/>
        <w:rPr>
          <w:rFonts w:hint="eastAsia" w:ascii="仿宋_GB2312" w:eastAsia="仿宋_GB2312"/>
          <w:color w:val="000000"/>
          <w:sz w:val="32"/>
          <w:szCs w:val="32"/>
          <w:highlight w:val="none"/>
          <w:lang w:eastAsia="zh-CN"/>
        </w:rPr>
      </w:pPr>
      <w:r>
        <w:rPr>
          <w:rFonts w:hint="eastAsia" w:ascii="仿宋_GB2312" w:eastAsia="仿宋_GB2312"/>
          <w:color w:val="000000"/>
          <w:sz w:val="32"/>
          <w:szCs w:val="32"/>
          <w:highlight w:val="none"/>
          <w:lang w:eastAsia="zh-CN"/>
        </w:rPr>
        <w:t>培养高等学历师资人才，促进教育事业发展。涉及中文、历史、政治、教育、音乐、美术、外语、数学、物理、化学、生物、地理、计算机、初等教育等学科，开展大专、本科、研究生班、硕士研究生、博士研究生学历教育，博士后培养，相关科学研究，继续教育，专业培训和学术交流。</w:t>
      </w:r>
    </w:p>
    <w:p>
      <w:pPr>
        <w:numPr>
          <w:ilvl w:val="0"/>
          <w:numId w:val="0"/>
        </w:numPr>
        <w:ind w:firstLine="320" w:firstLineChars="100"/>
        <w:rPr>
          <w:rFonts w:hint="eastAsia" w:ascii="楷体" w:hAnsi="楷体" w:eastAsia="楷体" w:cs="楷体"/>
          <w:color w:val="000000"/>
          <w:sz w:val="32"/>
          <w:szCs w:val="32"/>
          <w:lang w:eastAsia="zh-CN"/>
        </w:rPr>
      </w:pPr>
      <w:r>
        <w:rPr>
          <w:rFonts w:hint="eastAsia" w:ascii="楷体" w:hAnsi="楷体" w:eastAsia="楷体" w:cs="楷体"/>
          <w:color w:val="000000"/>
          <w:sz w:val="32"/>
          <w:szCs w:val="32"/>
          <w:lang w:eastAsia="zh-CN"/>
        </w:rPr>
        <w:t>（二）机构设置情况</w:t>
      </w:r>
    </w:p>
    <w:p>
      <w:pPr>
        <w:spacing w:line="560" w:lineRule="exact"/>
        <w:ind w:firstLine="640" w:firstLineChars="200"/>
        <w:rPr>
          <w:rFonts w:hint="eastAsia" w:ascii="仿宋_GB2312" w:eastAsia="仿宋_GB2312"/>
          <w:color w:val="000000"/>
          <w:sz w:val="32"/>
          <w:szCs w:val="32"/>
          <w:highlight w:val="none"/>
          <w:lang w:eastAsia="zh-CN"/>
        </w:rPr>
      </w:pPr>
      <w:r>
        <w:rPr>
          <w:rFonts w:hint="eastAsia" w:ascii="仿宋_GB2312" w:eastAsia="仿宋_GB2312"/>
          <w:color w:val="000000"/>
          <w:sz w:val="32"/>
          <w:szCs w:val="32"/>
          <w:highlight w:val="none"/>
          <w:lang w:eastAsia="zh-CN"/>
        </w:rPr>
        <w:t xml:space="preserve">根据《北京市人民政府办公厅关于将北京师范学院更名为首都师范大学的通知》（京政办发【1992】55号），设立首都师范大学。由75个内设机构组成，分别为文学院、历史学院、政法学院、初等教育学院、管理学院、国际文化学院、交叉科学研究院、数学科学学院、教师教育学院、生命科学学院、资源环境与旅游学院、化学系、马克思主义学院、教育学院、美术学院、心理学院、外国语学院、信息工程学院、继续教育学院(京疆学院)、体育教学研究部、大学英语教研部、中国书法文化研究院、学前教育学院等。 </w:t>
      </w:r>
    </w:p>
    <w:p>
      <w:pPr>
        <w:numPr>
          <w:ilvl w:val="0"/>
          <w:numId w:val="0"/>
        </w:numPr>
        <w:ind w:firstLine="320" w:firstLineChars="100"/>
        <w:rPr>
          <w:rFonts w:hint="eastAsia" w:ascii="楷体" w:hAnsi="楷体" w:eastAsia="楷体" w:cs="楷体"/>
          <w:color w:val="000000"/>
          <w:sz w:val="32"/>
          <w:szCs w:val="32"/>
          <w:lang w:eastAsia="zh-CN"/>
        </w:rPr>
      </w:pPr>
      <w:r>
        <w:rPr>
          <w:rFonts w:hint="eastAsia" w:ascii="楷体" w:hAnsi="楷体" w:eastAsia="楷体" w:cs="楷体"/>
          <w:color w:val="000000"/>
          <w:sz w:val="32"/>
          <w:szCs w:val="32"/>
          <w:lang w:eastAsia="zh-CN"/>
        </w:rPr>
        <w:t>（三）单位性质</w:t>
      </w:r>
    </w:p>
    <w:p>
      <w:pPr>
        <w:spacing w:line="560" w:lineRule="exact"/>
        <w:ind w:firstLine="640" w:firstLineChars="200"/>
        <w:rPr>
          <w:rFonts w:hint="eastAsia" w:ascii="仿宋_GB2312" w:eastAsia="仿宋_GB2312"/>
          <w:color w:val="000000"/>
          <w:sz w:val="32"/>
          <w:szCs w:val="32"/>
          <w:highlight w:val="none"/>
          <w:lang w:eastAsia="zh-CN"/>
        </w:rPr>
      </w:pPr>
      <w:r>
        <w:rPr>
          <w:rFonts w:hint="eastAsia" w:ascii="仿宋_GB2312" w:eastAsia="仿宋_GB2312"/>
          <w:color w:val="000000"/>
          <w:sz w:val="32"/>
          <w:szCs w:val="32"/>
          <w:highlight w:val="none"/>
          <w:lang w:eastAsia="zh-CN"/>
        </w:rPr>
        <w:t>首都师范大学为公益二类事业单位。</w:t>
      </w:r>
    </w:p>
    <w:p>
      <w:pPr>
        <w:numPr>
          <w:ilvl w:val="0"/>
          <w:numId w:val="0"/>
        </w:numPr>
        <w:ind w:firstLine="320" w:firstLineChars="100"/>
        <w:rPr>
          <w:rFonts w:hint="eastAsia" w:ascii="楷体" w:hAnsi="楷体" w:eastAsia="楷体" w:cs="楷体"/>
          <w:color w:val="000000"/>
          <w:sz w:val="32"/>
          <w:szCs w:val="32"/>
          <w:lang w:eastAsia="zh-CN"/>
        </w:rPr>
      </w:pPr>
      <w:r>
        <w:rPr>
          <w:rFonts w:hint="eastAsia" w:ascii="楷体" w:hAnsi="楷体" w:eastAsia="楷体" w:cs="楷体"/>
          <w:color w:val="000000"/>
          <w:sz w:val="32"/>
          <w:szCs w:val="32"/>
          <w:lang w:eastAsia="zh-CN"/>
        </w:rPr>
        <w:t>（四）人员构成情况</w:t>
      </w:r>
      <w:r>
        <w:rPr>
          <w:rFonts w:hint="eastAsia" w:ascii="楷体" w:hAnsi="楷体" w:eastAsia="楷体" w:cs="楷体"/>
          <w:color w:val="000000"/>
          <w:sz w:val="32"/>
          <w:szCs w:val="32"/>
          <w:lang w:eastAsia="zh-CN"/>
        </w:rPr>
        <w:tab/>
      </w:r>
    </w:p>
    <w:p>
      <w:pPr>
        <w:spacing w:line="560" w:lineRule="exact"/>
        <w:ind w:firstLine="640" w:firstLineChars="200"/>
        <w:rPr>
          <w:rFonts w:ascii="仿宋_GB2312" w:eastAsia="仿宋_GB2312"/>
          <w:color w:val="000000"/>
          <w:sz w:val="32"/>
          <w:szCs w:val="32"/>
          <w:highlight w:val="none"/>
        </w:rPr>
      </w:pPr>
      <w:r>
        <w:rPr>
          <w:rFonts w:hint="eastAsia" w:ascii="仿宋_GB2312" w:eastAsia="仿宋_GB2312"/>
          <w:color w:val="000000"/>
          <w:sz w:val="32"/>
          <w:szCs w:val="32"/>
          <w:highlight w:val="none"/>
          <w:lang w:eastAsia="zh-CN"/>
        </w:rPr>
        <w:t>首都师范大学事业编制内实际人数2515人，离休92人，退休2478人；学生人数28815人，包括博士研究生1027人、硕士研究生6657人、本专科生11873人、成人7458人、留学生1800人。</w:t>
      </w:r>
    </w:p>
    <w:p>
      <w:pPr>
        <w:spacing w:line="560" w:lineRule="exact"/>
        <w:rPr>
          <w:rFonts w:hint="eastAsia" w:ascii="仿宋_GB2312" w:eastAsia="仿宋_GB2312"/>
          <w:color w:val="000000"/>
          <w:sz w:val="32"/>
          <w:szCs w:val="32"/>
        </w:rPr>
      </w:pPr>
    </w:p>
    <w:p>
      <w:pPr>
        <w:spacing w:line="560" w:lineRule="exact"/>
        <w:ind w:firstLine="640" w:firstLineChars="200"/>
        <w:rPr>
          <w:rFonts w:hint="eastAsia" w:ascii="黑体" w:hAnsi="黑体" w:eastAsia="黑体"/>
          <w:color w:val="000000"/>
          <w:sz w:val="32"/>
          <w:szCs w:val="32"/>
        </w:rPr>
      </w:pPr>
      <w:r>
        <w:rPr>
          <w:rFonts w:hint="eastAsia" w:ascii="黑体" w:hAnsi="黑体" w:eastAsia="黑体"/>
          <w:color w:val="000000"/>
          <w:sz w:val="32"/>
          <w:szCs w:val="32"/>
        </w:rPr>
        <w:t>二、2021年收入及支出总体情况</w:t>
      </w:r>
    </w:p>
    <w:p>
      <w:pPr>
        <w:numPr>
          <w:ilvl w:val="0"/>
          <w:numId w:val="0"/>
        </w:numPr>
        <w:ind w:firstLine="320" w:firstLineChars="100"/>
        <w:rPr>
          <w:rFonts w:hint="eastAsia" w:ascii="楷体" w:hAnsi="楷体" w:eastAsia="楷体" w:cs="楷体"/>
          <w:color w:val="000000"/>
          <w:sz w:val="32"/>
          <w:szCs w:val="32"/>
          <w:lang w:eastAsia="zh-CN"/>
        </w:rPr>
      </w:pPr>
      <w:r>
        <w:rPr>
          <w:rFonts w:hint="eastAsia" w:ascii="楷体" w:hAnsi="楷体" w:eastAsia="楷体" w:cs="楷体"/>
          <w:color w:val="000000"/>
          <w:sz w:val="32"/>
          <w:szCs w:val="32"/>
          <w:lang w:eastAsia="zh-CN"/>
        </w:rPr>
        <w:t>（一）收入预算情况</w:t>
      </w:r>
    </w:p>
    <w:p>
      <w:p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2021年收入预算224421.5</w:t>
      </w: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万元，</w:t>
      </w:r>
      <w:r>
        <w:rPr>
          <w:rFonts w:hint="eastAsia" w:ascii="仿宋_GB2312" w:eastAsia="仿宋_GB2312"/>
          <w:color w:val="000000"/>
          <w:sz w:val="32"/>
          <w:szCs w:val="32"/>
          <w:lang w:val="en-US" w:eastAsia="zh-CN"/>
        </w:rPr>
        <w:t>比2020年的</w:t>
      </w:r>
      <w:r>
        <w:rPr>
          <w:rFonts w:hint="eastAsia" w:ascii="仿宋_GB2312" w:eastAsia="仿宋_GB2312"/>
          <w:color w:val="000000"/>
          <w:sz w:val="32"/>
          <w:szCs w:val="32"/>
        </w:rPr>
        <w:t>241049.7</w:t>
      </w:r>
      <w:r>
        <w:rPr>
          <w:rFonts w:hint="eastAsia" w:ascii="仿宋_GB2312" w:eastAsia="仿宋_GB2312"/>
          <w:color w:val="000000"/>
          <w:sz w:val="32"/>
          <w:szCs w:val="32"/>
          <w:lang w:val="en-US" w:eastAsia="zh-CN"/>
        </w:rPr>
        <w:t>9</w:t>
      </w:r>
      <w:r>
        <w:rPr>
          <w:rFonts w:hint="eastAsia" w:ascii="仿宋_GB2312" w:eastAsia="仿宋_GB2312"/>
          <w:color w:val="000000"/>
          <w:sz w:val="32"/>
          <w:szCs w:val="32"/>
        </w:rPr>
        <w:t>万元减少16628.27万元。其中：</w:t>
      </w:r>
    </w:p>
    <w:p>
      <w:pPr>
        <w:spacing w:line="600" w:lineRule="exact"/>
        <w:ind w:firstLine="640" w:firstLineChars="200"/>
        <w:rPr>
          <w:rFonts w:hint="eastAsia" w:ascii="仿宋" w:hAnsi="仿宋" w:eastAsia="仿宋" w:cs="仿宋"/>
          <w:sz w:val="32"/>
          <w:szCs w:val="32"/>
          <w:highlight w:val="none"/>
          <w:lang w:val="en-US" w:eastAsia="zh-CN"/>
        </w:rPr>
      </w:pPr>
      <w:r>
        <w:rPr>
          <w:rFonts w:hint="eastAsia" w:ascii="仿宋_GB2312" w:eastAsia="仿宋_GB2312"/>
          <w:color w:val="000000"/>
          <w:sz w:val="32"/>
          <w:szCs w:val="32"/>
          <w:highlight w:val="none"/>
        </w:rPr>
        <w:t>财政拨款157614.33万元,比2020年170858.78万元减少13244.45万元</w:t>
      </w:r>
      <w:r>
        <w:rPr>
          <w:rFonts w:hint="eastAsia" w:ascii="仿宋_GB2312" w:eastAsia="仿宋_GB2312"/>
          <w:color w:val="000000"/>
          <w:sz w:val="32"/>
          <w:szCs w:val="32"/>
          <w:highlight w:val="none"/>
          <w:lang w:eastAsia="zh-CN"/>
        </w:rPr>
        <w:t>，主要原因是落实政府“过紧日子”要求，厉行勤俭节约，压缩一般性支出财政拨款，减少</w:t>
      </w:r>
      <w:r>
        <w:rPr>
          <w:rFonts w:hint="eastAsia" w:ascii="仿宋" w:hAnsi="仿宋" w:eastAsia="仿宋" w:cs="仿宋"/>
          <w:sz w:val="32"/>
          <w:szCs w:val="32"/>
          <w:highlight w:val="none"/>
          <w:lang w:val="en-US" w:eastAsia="zh-CN"/>
        </w:rPr>
        <w:t>基本建设项目经费财政拨款。</w:t>
      </w:r>
    </w:p>
    <w:p>
      <w:pPr>
        <w:spacing w:line="560" w:lineRule="exact"/>
        <w:ind w:firstLine="640" w:firstLineChars="200"/>
        <w:rPr>
          <w:rFonts w:hint="eastAsia" w:ascii="仿宋_GB2312" w:eastAsia="仿宋_GB2312"/>
          <w:color w:val="000000"/>
          <w:sz w:val="32"/>
          <w:szCs w:val="32"/>
          <w:highlight w:val="none"/>
          <w:lang w:val="en-US" w:eastAsia="zh-CN"/>
        </w:rPr>
      </w:pPr>
      <w:r>
        <w:rPr>
          <w:rFonts w:hint="eastAsia" w:ascii="仿宋" w:hAnsi="仿宋" w:eastAsia="仿宋" w:cs="仿宋"/>
          <w:sz w:val="32"/>
          <w:szCs w:val="32"/>
          <w:highlight w:val="none"/>
          <w:lang w:val="en-US" w:eastAsia="zh-CN"/>
        </w:rPr>
        <w:t>其他资金66807.18万元，比2020年的70191万元减少3383.82万元，主要原因是</w:t>
      </w:r>
      <w:r>
        <w:rPr>
          <w:rFonts w:hint="eastAsia" w:ascii="仿宋_GB2312" w:eastAsia="仿宋_GB2312"/>
          <w:color w:val="000000"/>
          <w:sz w:val="32"/>
          <w:szCs w:val="32"/>
          <w:highlight w:val="none"/>
          <w:lang w:val="en-US" w:eastAsia="zh-CN"/>
        </w:rPr>
        <w:t>强化资金统筹，加大结余资金消化力度。</w:t>
      </w:r>
    </w:p>
    <w:p>
      <w:pPr>
        <w:numPr>
          <w:ilvl w:val="0"/>
          <w:numId w:val="1"/>
        </w:numPr>
        <w:ind w:firstLine="640" w:firstLineChars="200"/>
        <w:rPr>
          <w:rFonts w:hint="eastAsia" w:ascii="楷体" w:hAnsi="楷体" w:eastAsia="楷体" w:cs="楷体"/>
          <w:color w:val="000000"/>
          <w:sz w:val="32"/>
          <w:szCs w:val="32"/>
          <w:highlight w:val="none"/>
          <w:lang w:eastAsia="zh-CN"/>
        </w:rPr>
      </w:pPr>
      <w:r>
        <w:rPr>
          <w:rFonts w:hint="eastAsia" w:ascii="楷体" w:hAnsi="楷体" w:eastAsia="楷体" w:cs="楷体"/>
          <w:color w:val="000000"/>
          <w:sz w:val="32"/>
          <w:szCs w:val="32"/>
          <w:highlight w:val="none"/>
          <w:lang w:eastAsia="zh-CN"/>
        </w:rPr>
        <w:t>支出预算情况</w:t>
      </w:r>
    </w:p>
    <w:p>
      <w:pPr>
        <w:spacing w:line="600" w:lineRule="exact"/>
        <w:ind w:firstLine="640" w:firstLineChars="200"/>
        <w:rPr>
          <w:rFonts w:hint="eastAsia" w:ascii="楷体" w:hAnsi="楷体" w:eastAsia="楷体" w:cs="楷体"/>
          <w:color w:val="000000"/>
          <w:sz w:val="32"/>
          <w:szCs w:val="32"/>
          <w:highlight w:val="none"/>
          <w:lang w:val="en-US" w:eastAsia="zh-CN"/>
        </w:rPr>
      </w:pPr>
      <w:r>
        <w:rPr>
          <w:rFonts w:hint="eastAsia" w:ascii="仿宋_GB2312" w:eastAsia="仿宋_GB2312"/>
          <w:color w:val="000000"/>
          <w:sz w:val="32"/>
          <w:szCs w:val="32"/>
          <w:highlight w:val="none"/>
        </w:rPr>
        <w:t>2021年支出预算224421.5</w:t>
      </w:r>
      <w:r>
        <w:rPr>
          <w:rFonts w:hint="eastAsia" w:ascii="仿宋_GB2312" w:eastAsia="仿宋_GB2312"/>
          <w:color w:val="000000"/>
          <w:sz w:val="32"/>
          <w:szCs w:val="32"/>
          <w:highlight w:val="none"/>
          <w:lang w:val="en-US" w:eastAsia="zh-CN"/>
        </w:rPr>
        <w:t>2</w:t>
      </w:r>
      <w:r>
        <w:rPr>
          <w:rFonts w:hint="eastAsia" w:ascii="仿宋_GB2312" w:eastAsia="仿宋_GB2312"/>
          <w:color w:val="000000"/>
          <w:sz w:val="32"/>
          <w:szCs w:val="32"/>
          <w:highlight w:val="none"/>
        </w:rPr>
        <w:t>万元，比2020年241049.7</w:t>
      </w:r>
      <w:r>
        <w:rPr>
          <w:rFonts w:hint="eastAsia" w:ascii="仿宋_GB2312" w:eastAsia="仿宋_GB2312"/>
          <w:color w:val="000000"/>
          <w:sz w:val="32"/>
          <w:szCs w:val="32"/>
          <w:highlight w:val="none"/>
          <w:lang w:val="en-US" w:eastAsia="zh-CN"/>
        </w:rPr>
        <w:t>9</w:t>
      </w:r>
      <w:r>
        <w:rPr>
          <w:rFonts w:hint="eastAsia" w:ascii="仿宋_GB2312" w:eastAsia="仿宋_GB2312"/>
          <w:color w:val="000000"/>
          <w:sz w:val="32"/>
          <w:szCs w:val="32"/>
          <w:highlight w:val="none"/>
        </w:rPr>
        <w:t>万元减少16628.27万元。其中：</w:t>
      </w:r>
    </w:p>
    <w:p>
      <w:pPr>
        <w:spacing w:line="600" w:lineRule="exact"/>
        <w:ind w:firstLine="640" w:firstLineChars="200"/>
        <w:rPr>
          <w:rFonts w:hint="eastAsia" w:ascii="仿宋_GB2312" w:eastAsia="仿宋_GB2312"/>
          <w:color w:val="000000"/>
          <w:sz w:val="32"/>
          <w:szCs w:val="32"/>
          <w:highlight w:val="none"/>
          <w:lang w:val="en-US" w:eastAsia="zh-CN"/>
        </w:rPr>
      </w:pPr>
      <w:r>
        <w:rPr>
          <w:rFonts w:hint="eastAsia" w:ascii="仿宋" w:hAnsi="仿宋" w:eastAsia="仿宋" w:cs="仿宋"/>
          <w:sz w:val="32"/>
          <w:szCs w:val="32"/>
          <w:highlight w:val="none"/>
        </w:rPr>
        <w:t>基本支出预算186006.88</w:t>
      </w:r>
      <w:r>
        <w:rPr>
          <w:rFonts w:hint="eastAsia" w:ascii="仿宋" w:hAnsi="仿宋" w:eastAsia="仿宋" w:cs="仿宋"/>
          <w:spacing w:val="-20"/>
          <w:sz w:val="32"/>
          <w:szCs w:val="32"/>
          <w:highlight w:val="none"/>
        </w:rPr>
        <w:t>万元，</w:t>
      </w:r>
      <w:r>
        <w:rPr>
          <w:rFonts w:hint="eastAsia" w:ascii="仿宋_GB2312" w:eastAsia="仿宋_GB2312"/>
          <w:color w:val="000000"/>
          <w:sz w:val="32"/>
          <w:szCs w:val="32"/>
          <w:highlight w:val="none"/>
        </w:rPr>
        <w:t>比2020年174010.19万元增加11996.6</w:t>
      </w:r>
      <w:r>
        <w:rPr>
          <w:rFonts w:hint="eastAsia" w:ascii="仿宋_GB2312" w:eastAsia="仿宋_GB2312"/>
          <w:color w:val="000000"/>
          <w:sz w:val="32"/>
          <w:szCs w:val="32"/>
          <w:highlight w:val="none"/>
          <w:lang w:val="en-US" w:eastAsia="zh-CN"/>
        </w:rPr>
        <w:t>9</w:t>
      </w:r>
      <w:r>
        <w:rPr>
          <w:rFonts w:hint="eastAsia" w:ascii="仿宋_GB2312" w:eastAsia="仿宋_GB2312"/>
          <w:color w:val="000000"/>
          <w:sz w:val="32"/>
          <w:szCs w:val="32"/>
          <w:highlight w:val="none"/>
        </w:rPr>
        <w:t>万元，主要原因是落实人员正常调资等有关政策，</w:t>
      </w:r>
      <w:r>
        <w:rPr>
          <w:rFonts w:hint="eastAsia" w:ascii="仿宋_GB2312" w:eastAsia="仿宋_GB2312"/>
          <w:color w:val="000000"/>
          <w:sz w:val="32"/>
          <w:szCs w:val="32"/>
          <w:highlight w:val="none"/>
          <w:lang w:val="en-US" w:eastAsia="zh-CN"/>
        </w:rPr>
        <w:t>其他资金安排公用经费支出增加。</w:t>
      </w:r>
    </w:p>
    <w:p>
      <w:pPr>
        <w:spacing w:line="600" w:lineRule="exact"/>
        <w:ind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rPr>
        <w:t>项目支出预算</w:t>
      </w:r>
      <w:r>
        <w:rPr>
          <w:rFonts w:hint="eastAsia" w:ascii="仿宋" w:hAnsi="仿宋" w:eastAsia="仿宋" w:cs="仿宋"/>
          <w:sz w:val="32"/>
          <w:szCs w:val="32"/>
          <w:highlight w:val="none"/>
          <w:lang w:val="en-US" w:eastAsia="zh-CN"/>
        </w:rPr>
        <w:t>38414.64</w:t>
      </w:r>
      <w:r>
        <w:rPr>
          <w:rFonts w:hint="eastAsia" w:ascii="仿宋" w:hAnsi="仿宋" w:eastAsia="仿宋" w:cs="仿宋"/>
          <w:sz w:val="32"/>
          <w:szCs w:val="32"/>
          <w:highlight w:val="none"/>
        </w:rPr>
        <w:t>万元，比2020年</w:t>
      </w:r>
      <w:r>
        <w:rPr>
          <w:rFonts w:hint="eastAsia" w:ascii="仿宋" w:hAnsi="仿宋" w:eastAsia="仿宋" w:cs="仿宋"/>
          <w:sz w:val="32"/>
          <w:szCs w:val="32"/>
          <w:highlight w:val="none"/>
          <w:lang w:val="en-US" w:eastAsia="zh-CN"/>
        </w:rPr>
        <w:t>66139.60</w:t>
      </w:r>
      <w:r>
        <w:rPr>
          <w:rFonts w:hint="eastAsia" w:ascii="仿宋" w:hAnsi="仿宋" w:eastAsia="仿宋" w:cs="仿宋"/>
          <w:sz w:val="32"/>
          <w:szCs w:val="32"/>
          <w:highlight w:val="none"/>
        </w:rPr>
        <w:t>万元减少</w:t>
      </w:r>
      <w:r>
        <w:rPr>
          <w:rFonts w:hint="eastAsia" w:ascii="仿宋" w:hAnsi="仿宋" w:eastAsia="仿宋" w:cs="仿宋"/>
          <w:sz w:val="32"/>
          <w:szCs w:val="32"/>
          <w:highlight w:val="none"/>
          <w:lang w:val="en-US" w:eastAsia="zh-CN"/>
        </w:rPr>
        <w:t>27724.96</w:t>
      </w:r>
      <w:r>
        <w:rPr>
          <w:rFonts w:hint="eastAsia" w:ascii="仿宋" w:hAnsi="仿宋" w:eastAsia="仿宋" w:cs="仿宋"/>
          <w:sz w:val="32"/>
          <w:szCs w:val="32"/>
          <w:highlight w:val="none"/>
        </w:rPr>
        <w:t>万元，主要原因是</w:t>
      </w:r>
      <w:r>
        <w:rPr>
          <w:rFonts w:hint="eastAsia" w:ascii="仿宋" w:hAnsi="仿宋" w:eastAsia="仿宋" w:cs="仿宋"/>
          <w:sz w:val="32"/>
          <w:szCs w:val="32"/>
          <w:highlight w:val="none"/>
          <w:lang w:val="en-US" w:eastAsia="zh-CN"/>
        </w:rPr>
        <w:t>根据事业发展规划，调整项目支出。</w:t>
      </w:r>
    </w:p>
    <w:p>
      <w:pPr>
        <w:ind w:firstLine="640" w:firstLineChars="200"/>
        <w:rPr>
          <w:rFonts w:hint="eastAsia" w:ascii="黑体" w:hAnsi="黑体" w:eastAsia="黑体" w:cs="黑体"/>
          <w:sz w:val="32"/>
          <w:szCs w:val="32"/>
          <w:highlight w:val="none"/>
          <w:lang w:eastAsia="zh-CN"/>
        </w:rPr>
      </w:pPr>
    </w:p>
    <w:p>
      <w:pPr>
        <w:ind w:firstLine="640" w:firstLineChars="200"/>
        <w:rPr>
          <w:rFonts w:hint="eastAsia" w:ascii="黑体" w:hAnsi="黑体" w:eastAsia="黑体" w:cs="黑体"/>
          <w:sz w:val="32"/>
          <w:szCs w:val="32"/>
          <w:highlight w:val="none"/>
          <w:lang w:eastAsia="zh-CN"/>
        </w:rPr>
      </w:pPr>
      <w:r>
        <w:rPr>
          <w:rFonts w:hint="eastAsia" w:ascii="黑体" w:hAnsi="黑体" w:eastAsia="黑体" w:cs="黑体"/>
          <w:sz w:val="32"/>
          <w:szCs w:val="32"/>
          <w:highlight w:val="none"/>
          <w:lang w:eastAsia="zh-CN"/>
        </w:rPr>
        <w:t>三、主要支出情况</w:t>
      </w:r>
    </w:p>
    <w:p>
      <w:pPr>
        <w:ind w:firstLine="640" w:firstLineChars="200"/>
        <w:rPr>
          <w:rFonts w:hint="eastAsia" w:ascii="仿宋" w:hAnsi="仿宋" w:eastAsia="仿宋" w:cs="仿宋"/>
          <w:sz w:val="32"/>
          <w:szCs w:val="32"/>
          <w:highlight w:val="none"/>
        </w:rPr>
      </w:pPr>
      <w:r>
        <w:rPr>
          <w:rFonts w:hint="eastAsia" w:ascii="仿宋_GB2312" w:eastAsia="仿宋_GB2312"/>
          <w:color w:val="000000"/>
          <w:sz w:val="32"/>
          <w:szCs w:val="32"/>
        </w:rPr>
        <w:t>按照支出内容，项目支出主要用于</w:t>
      </w:r>
      <w:r>
        <w:rPr>
          <w:rFonts w:hint="eastAsia" w:ascii="仿宋" w:hAnsi="仿宋" w:eastAsia="仿宋" w:cs="仿宋"/>
          <w:sz w:val="32"/>
          <w:szCs w:val="32"/>
          <w:highlight w:val="none"/>
          <w:lang w:eastAsia="zh-CN"/>
        </w:rPr>
        <w:t>教师队伍建设、人才培养质量建设、科技创新服务能力建设、改善办学保障条件、国际合作与交流、向基础教育倾斜</w:t>
      </w:r>
      <w:r>
        <w:rPr>
          <w:rFonts w:hint="eastAsia" w:ascii="仿宋" w:hAnsi="仿宋" w:eastAsia="仿宋" w:cs="仿宋"/>
          <w:sz w:val="32"/>
          <w:szCs w:val="32"/>
          <w:highlight w:val="none"/>
        </w:rPr>
        <w:t>等。</w:t>
      </w:r>
      <w:r>
        <w:rPr>
          <w:rFonts w:hint="eastAsia" w:ascii="仿宋" w:hAnsi="仿宋" w:eastAsia="仿宋" w:cs="仿宋"/>
          <w:sz w:val="32"/>
          <w:szCs w:val="32"/>
          <w:highlight w:val="none"/>
        </w:rPr>
        <w:tab/>
      </w:r>
    </w:p>
    <w:p>
      <w:pPr>
        <w:ind w:firstLine="640" w:firstLineChars="200"/>
        <w:rPr>
          <w:rFonts w:hint="eastAsia" w:ascii="仿宋" w:hAnsi="仿宋" w:eastAsia="仿宋" w:cs="仿宋"/>
          <w:sz w:val="32"/>
          <w:szCs w:val="32"/>
          <w:highlight w:val="none"/>
        </w:rPr>
      </w:pPr>
    </w:p>
    <w:p>
      <w:pPr>
        <w:spacing w:line="560" w:lineRule="exact"/>
        <w:ind w:firstLine="640" w:firstLineChars="200"/>
        <w:rPr>
          <w:rFonts w:ascii="黑体" w:hAnsi="黑体" w:eastAsia="黑体"/>
          <w:color w:val="000000"/>
          <w:sz w:val="32"/>
          <w:szCs w:val="32"/>
        </w:rPr>
      </w:pPr>
      <w:r>
        <w:rPr>
          <w:rFonts w:hint="eastAsia" w:ascii="黑体" w:hAnsi="黑体" w:eastAsia="黑体"/>
          <w:color w:val="000000"/>
          <w:sz w:val="32"/>
          <w:szCs w:val="32"/>
        </w:rPr>
        <w:t>四、单位“三公”经费财政拨款预算说明</w:t>
      </w:r>
    </w:p>
    <w:p>
      <w:pPr>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2021年</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三公</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经费财政拨款预算257.5</w:t>
      </w:r>
      <w:r>
        <w:rPr>
          <w:rFonts w:hint="eastAsia" w:ascii="仿宋" w:hAnsi="仿宋" w:eastAsia="仿宋" w:cs="仿宋"/>
          <w:sz w:val="32"/>
          <w:szCs w:val="32"/>
          <w:highlight w:val="none"/>
          <w:lang w:val="en-US" w:eastAsia="zh-CN"/>
        </w:rPr>
        <w:t>0</w:t>
      </w:r>
      <w:r>
        <w:rPr>
          <w:rFonts w:hint="eastAsia" w:ascii="仿宋" w:hAnsi="仿宋" w:eastAsia="仿宋" w:cs="仿宋"/>
          <w:sz w:val="32"/>
          <w:szCs w:val="32"/>
          <w:highlight w:val="none"/>
        </w:rPr>
        <w:t>万元。其中：</w:t>
      </w:r>
      <w:r>
        <w:rPr>
          <w:rFonts w:hint="eastAsia" w:ascii="仿宋" w:hAnsi="仿宋" w:eastAsia="仿宋" w:cs="仿宋"/>
          <w:sz w:val="32"/>
          <w:szCs w:val="32"/>
          <w:highlight w:val="none"/>
        </w:rPr>
        <w:tab/>
      </w:r>
      <w:r>
        <w:rPr>
          <w:rFonts w:hint="eastAsia" w:ascii="仿宋" w:hAnsi="仿宋" w:eastAsia="仿宋" w:cs="仿宋"/>
          <w:sz w:val="32"/>
          <w:szCs w:val="32"/>
          <w:highlight w:val="none"/>
        </w:rPr>
        <w:t xml:space="preserve"> 1、因公出国（境）费用。2021年预算数177.35万元，主要用于</w:t>
      </w:r>
      <w:r>
        <w:rPr>
          <w:rFonts w:hint="eastAsia" w:ascii="仿宋" w:hAnsi="仿宋" w:eastAsia="仿宋" w:cs="仿宋"/>
          <w:sz w:val="32"/>
          <w:szCs w:val="32"/>
          <w:highlight w:val="none"/>
          <w:lang w:eastAsia="zh-CN"/>
        </w:rPr>
        <w:t>学校教学科研人员出国开展学术交流</w:t>
      </w:r>
      <w:r>
        <w:rPr>
          <w:rFonts w:hint="eastAsia" w:ascii="仿宋" w:hAnsi="仿宋" w:eastAsia="仿宋" w:cs="仿宋"/>
          <w:sz w:val="32"/>
          <w:szCs w:val="32"/>
          <w:highlight w:val="none"/>
        </w:rPr>
        <w:t>。</w:t>
      </w:r>
      <w:r>
        <w:rPr>
          <w:rFonts w:hint="eastAsia" w:ascii="仿宋" w:hAnsi="仿宋" w:eastAsia="仿宋" w:cs="仿宋"/>
          <w:sz w:val="32"/>
          <w:szCs w:val="32"/>
          <w:highlight w:val="none"/>
        </w:rPr>
        <w:tab/>
      </w:r>
    </w:p>
    <w:p>
      <w:pPr>
        <w:ind w:firstLine="640"/>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2</w:t>
      </w:r>
      <w:r>
        <w:rPr>
          <w:rFonts w:hint="eastAsia" w:ascii="仿宋" w:hAnsi="仿宋" w:eastAsia="仿宋" w:cs="仿宋"/>
          <w:sz w:val="32"/>
          <w:szCs w:val="32"/>
          <w:highlight w:val="none"/>
        </w:rPr>
        <w:t>、公务用车购置和运行维护费。公务用车运行维护费2021年预算数80.15万元，其中：公务用车加油38.84万元，公务用车维修19.15万元，公务用车保险18.34万元，其他3.82万元。</w:t>
      </w:r>
    </w:p>
    <w:p>
      <w:pPr>
        <w:ind w:firstLine="640"/>
        <w:rPr>
          <w:rFonts w:hint="eastAsia" w:ascii="仿宋" w:hAnsi="仿宋" w:eastAsia="仿宋" w:cs="仿宋"/>
          <w:sz w:val="32"/>
          <w:szCs w:val="32"/>
          <w:highlight w:val="none"/>
        </w:rPr>
      </w:pPr>
    </w:p>
    <w:p>
      <w:pPr>
        <w:spacing w:line="560" w:lineRule="exact"/>
        <w:ind w:firstLine="640" w:firstLineChars="200"/>
        <w:rPr>
          <w:rFonts w:hint="eastAsia" w:ascii="黑体" w:hAnsi="黑体" w:eastAsia="黑体"/>
          <w:color w:val="000000"/>
          <w:sz w:val="32"/>
          <w:szCs w:val="32"/>
        </w:rPr>
      </w:pPr>
      <w:r>
        <w:rPr>
          <w:rFonts w:hint="eastAsia" w:ascii="黑体" w:hAnsi="黑体" w:eastAsia="黑体"/>
          <w:color w:val="000000"/>
          <w:sz w:val="32"/>
          <w:szCs w:val="32"/>
        </w:rPr>
        <w:t>五、其他情况说明</w:t>
      </w:r>
    </w:p>
    <w:p>
      <w:pPr>
        <w:spacing w:line="560" w:lineRule="exact"/>
        <w:ind w:firstLine="480" w:firstLineChars="150"/>
        <w:rPr>
          <w:rFonts w:hint="eastAsia" w:ascii="楷体_GB2312" w:eastAsia="楷体_GB2312"/>
          <w:color w:val="000000"/>
          <w:sz w:val="32"/>
          <w:szCs w:val="32"/>
        </w:rPr>
      </w:pPr>
      <w:r>
        <w:rPr>
          <w:rFonts w:hint="eastAsia" w:ascii="楷体_GB2312" w:eastAsia="楷体_GB2312"/>
          <w:color w:val="000000"/>
          <w:sz w:val="32"/>
          <w:szCs w:val="32"/>
        </w:rPr>
        <w:t>（一）政府采购预算说明</w:t>
      </w:r>
    </w:p>
    <w:p>
      <w:p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2021年首都师范大学政府采购预算总额12773.04万元，其中：政府采购货物预算6451.5</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万元，政府采购工程预算</w:t>
      </w:r>
      <w:r>
        <w:rPr>
          <w:rFonts w:hint="eastAsia" w:ascii="仿宋_GB2312" w:eastAsia="仿宋_GB2312"/>
          <w:color w:val="000000"/>
          <w:sz w:val="32"/>
          <w:szCs w:val="32"/>
          <w:lang w:val="en-US" w:eastAsia="zh-CN"/>
        </w:rPr>
        <w:t>921.18</w:t>
      </w:r>
      <w:r>
        <w:rPr>
          <w:rFonts w:hint="eastAsia" w:ascii="仿宋_GB2312" w:eastAsia="仿宋_GB2312"/>
          <w:color w:val="000000"/>
          <w:sz w:val="32"/>
          <w:szCs w:val="32"/>
        </w:rPr>
        <w:t>万元，政府采购服务预算</w:t>
      </w:r>
      <w:r>
        <w:rPr>
          <w:rFonts w:hint="eastAsia" w:ascii="仿宋_GB2312" w:eastAsia="仿宋_GB2312"/>
          <w:color w:val="000000"/>
          <w:sz w:val="32"/>
          <w:szCs w:val="32"/>
          <w:lang w:val="en-US" w:eastAsia="zh-CN"/>
        </w:rPr>
        <w:t>5400.36</w:t>
      </w:r>
      <w:r>
        <w:rPr>
          <w:rFonts w:hint="eastAsia" w:ascii="仿宋_GB2312" w:eastAsia="仿宋_GB2312"/>
          <w:color w:val="000000"/>
          <w:sz w:val="32"/>
          <w:szCs w:val="32"/>
        </w:rPr>
        <w:t>万元。</w:t>
      </w:r>
      <w:r>
        <w:rPr>
          <w:rFonts w:hint="eastAsia" w:ascii="仿宋_GB2312" w:eastAsia="仿宋_GB2312"/>
          <w:color w:val="000000"/>
          <w:sz w:val="32"/>
          <w:szCs w:val="32"/>
        </w:rPr>
        <w:tab/>
      </w:r>
    </w:p>
    <w:p>
      <w:pPr>
        <w:spacing w:line="560" w:lineRule="exact"/>
        <w:ind w:firstLine="480" w:firstLineChars="150"/>
        <w:rPr>
          <w:rFonts w:hint="eastAsia" w:ascii="楷体_GB2312" w:eastAsia="楷体_GB2312"/>
          <w:color w:val="000000"/>
          <w:sz w:val="32"/>
          <w:szCs w:val="32"/>
        </w:rPr>
      </w:pPr>
      <w:r>
        <w:rPr>
          <w:rFonts w:hint="eastAsia" w:ascii="楷体_GB2312" w:eastAsia="楷体_GB2312"/>
          <w:color w:val="000000"/>
          <w:sz w:val="32"/>
          <w:szCs w:val="32"/>
        </w:rPr>
        <w:t>（二）政府购买服务预算说明</w:t>
      </w:r>
    </w:p>
    <w:p>
      <w:pPr>
        <w:spacing w:line="560" w:lineRule="exact"/>
        <w:ind w:firstLine="640" w:firstLineChars="200"/>
        <w:rPr>
          <w:rFonts w:hint="eastAsia" w:ascii="仿宋_GB2312" w:eastAsia="仿宋_GB2312"/>
          <w:color w:val="000000"/>
          <w:sz w:val="32"/>
          <w:szCs w:val="32"/>
          <w:lang w:eastAsia="zh-CN"/>
        </w:rPr>
      </w:pPr>
      <w:r>
        <w:rPr>
          <w:rFonts w:hint="eastAsia" w:ascii="仿宋_GB2312" w:eastAsia="仿宋_GB2312"/>
          <w:color w:val="000000"/>
          <w:sz w:val="32"/>
          <w:szCs w:val="32"/>
        </w:rPr>
        <w:t>本单位2021年</w:t>
      </w:r>
      <w:r>
        <w:rPr>
          <w:rFonts w:hint="eastAsia" w:ascii="仿宋_GB2312" w:eastAsia="仿宋_GB2312"/>
          <w:color w:val="000000"/>
          <w:sz w:val="32"/>
          <w:szCs w:val="32"/>
          <w:lang w:eastAsia="zh-CN"/>
        </w:rPr>
        <w:t>无</w:t>
      </w:r>
      <w:r>
        <w:rPr>
          <w:rFonts w:hint="eastAsia" w:ascii="仿宋_GB2312" w:eastAsia="仿宋_GB2312"/>
          <w:color w:val="000000"/>
          <w:sz w:val="32"/>
          <w:szCs w:val="32"/>
        </w:rPr>
        <w:t>政府购买服务预算</w:t>
      </w:r>
      <w:r>
        <w:rPr>
          <w:rFonts w:hint="eastAsia" w:ascii="仿宋_GB2312" w:eastAsia="仿宋_GB2312"/>
          <w:color w:val="000000"/>
          <w:sz w:val="32"/>
          <w:szCs w:val="32"/>
          <w:lang w:eastAsia="zh-CN"/>
        </w:rPr>
        <w:t>。</w:t>
      </w:r>
    </w:p>
    <w:p>
      <w:pPr>
        <w:spacing w:line="560" w:lineRule="exact"/>
        <w:ind w:firstLine="480" w:firstLineChars="150"/>
        <w:rPr>
          <w:rFonts w:hint="eastAsia" w:ascii="楷体_GB2312" w:eastAsia="楷体_GB2312"/>
          <w:color w:val="000000"/>
          <w:sz w:val="32"/>
          <w:szCs w:val="32"/>
        </w:rPr>
      </w:pPr>
      <w:r>
        <w:rPr>
          <w:rFonts w:hint="eastAsia" w:ascii="楷体_GB2312" w:eastAsia="楷体_GB2312"/>
          <w:color w:val="000000"/>
          <w:sz w:val="32"/>
          <w:szCs w:val="32"/>
        </w:rPr>
        <w:t>（三）机关运行经费说明</w:t>
      </w:r>
    </w:p>
    <w:p>
      <w:pPr>
        <w:spacing w:line="560" w:lineRule="exact"/>
        <w:ind w:firstLine="640" w:firstLineChars="200"/>
        <w:rPr>
          <w:rFonts w:hint="eastAsia" w:ascii="仿宋_GB2312" w:eastAsia="仿宋_GB2312"/>
          <w:color w:val="000000"/>
          <w:sz w:val="32"/>
          <w:szCs w:val="32"/>
          <w:lang w:eastAsia="zh-CN"/>
        </w:rPr>
      </w:pPr>
      <w:r>
        <w:rPr>
          <w:rFonts w:hint="eastAsia" w:ascii="仿宋_GB2312" w:eastAsia="仿宋_GB2312"/>
          <w:color w:val="000000"/>
          <w:sz w:val="32"/>
          <w:szCs w:val="32"/>
        </w:rPr>
        <w:t>我单位不在机关运行经费统计范围之内</w:t>
      </w:r>
      <w:r>
        <w:rPr>
          <w:rFonts w:hint="eastAsia" w:ascii="仿宋_GB2312" w:eastAsia="仿宋_GB2312"/>
          <w:color w:val="000000"/>
          <w:sz w:val="32"/>
          <w:szCs w:val="32"/>
          <w:lang w:eastAsia="zh-CN"/>
        </w:rPr>
        <w:t>。</w:t>
      </w:r>
    </w:p>
    <w:p>
      <w:pPr>
        <w:spacing w:line="560" w:lineRule="exact"/>
        <w:ind w:firstLine="480" w:firstLineChars="150"/>
        <w:rPr>
          <w:rFonts w:hint="eastAsia" w:ascii="楷体_GB2312" w:eastAsia="楷体_GB2312"/>
          <w:color w:val="000000"/>
          <w:sz w:val="32"/>
          <w:szCs w:val="32"/>
        </w:rPr>
      </w:pPr>
      <w:r>
        <w:rPr>
          <w:rFonts w:hint="eastAsia" w:ascii="楷体_GB2312" w:eastAsia="楷体_GB2312"/>
          <w:color w:val="000000"/>
          <w:sz w:val="32"/>
          <w:szCs w:val="32"/>
        </w:rPr>
        <w:t>（四）项目支出绩效目标情况说明</w:t>
      </w:r>
    </w:p>
    <w:p>
      <w:pPr>
        <w:spacing w:line="560" w:lineRule="exact"/>
        <w:ind w:firstLine="480" w:firstLineChars="150"/>
        <w:rPr>
          <w:rFonts w:hint="eastAsia" w:ascii="仿宋" w:hAnsi="仿宋" w:eastAsia="仿宋" w:cs="仿宋"/>
          <w:sz w:val="32"/>
          <w:szCs w:val="32"/>
          <w:highlight w:val="none"/>
        </w:rPr>
      </w:pPr>
      <w:r>
        <w:rPr>
          <w:rFonts w:hint="eastAsia" w:ascii="仿宋_GB2312" w:eastAsia="仿宋_GB2312"/>
          <w:color w:val="000000"/>
          <w:sz w:val="32"/>
          <w:szCs w:val="32"/>
        </w:rPr>
        <w:t>2021年，首都师范大学填报绩效目标的预算项目5</w:t>
      </w:r>
      <w:r>
        <w:rPr>
          <w:rFonts w:hint="eastAsia" w:ascii="仿宋_GB2312" w:eastAsia="仿宋_GB2312"/>
          <w:color w:val="000000"/>
          <w:sz w:val="32"/>
          <w:szCs w:val="32"/>
          <w:lang w:val="en-US" w:eastAsia="zh-CN"/>
        </w:rPr>
        <w:t>7</w:t>
      </w:r>
      <w:r>
        <w:rPr>
          <w:rFonts w:hint="eastAsia" w:ascii="仿宋_GB2312" w:eastAsia="仿宋_GB2312"/>
          <w:color w:val="000000"/>
          <w:sz w:val="32"/>
          <w:szCs w:val="32"/>
        </w:rPr>
        <w:t>个，占</w:t>
      </w:r>
      <w:r>
        <w:rPr>
          <w:rFonts w:hint="eastAsia" w:ascii="仿宋_GB2312" w:eastAsia="仿宋_GB2312"/>
          <w:color w:val="000000"/>
          <w:sz w:val="32"/>
          <w:szCs w:val="32"/>
          <w:lang w:eastAsia="zh-CN"/>
        </w:rPr>
        <w:t>本单位</w:t>
      </w:r>
      <w:r>
        <w:rPr>
          <w:rFonts w:hint="eastAsia" w:ascii="仿宋_GB2312" w:eastAsia="仿宋_GB2312"/>
          <w:color w:val="000000"/>
          <w:sz w:val="32"/>
          <w:szCs w:val="32"/>
        </w:rPr>
        <w:t>全部预算项目5</w:t>
      </w:r>
      <w:r>
        <w:rPr>
          <w:rFonts w:hint="eastAsia" w:ascii="仿宋_GB2312" w:eastAsia="仿宋_GB2312"/>
          <w:color w:val="000000"/>
          <w:sz w:val="32"/>
          <w:szCs w:val="32"/>
          <w:lang w:val="en-US" w:eastAsia="zh-CN"/>
        </w:rPr>
        <w:t>7</w:t>
      </w:r>
      <w:r>
        <w:rPr>
          <w:rFonts w:hint="eastAsia" w:ascii="仿宋_GB2312" w:eastAsia="仿宋_GB2312"/>
          <w:color w:val="000000"/>
          <w:sz w:val="32"/>
          <w:szCs w:val="32"/>
        </w:rPr>
        <w:t>个的100%。填报绩效目标的项目支出预算16937.45万元，占本单位</w:t>
      </w:r>
      <w:r>
        <w:rPr>
          <w:rFonts w:hint="eastAsia" w:ascii="仿宋_GB2312" w:eastAsia="仿宋_GB2312"/>
          <w:color w:val="000000"/>
          <w:sz w:val="32"/>
          <w:szCs w:val="32"/>
          <w:lang w:eastAsia="zh-CN"/>
        </w:rPr>
        <w:t>年初</w:t>
      </w:r>
      <w:r>
        <w:rPr>
          <w:rFonts w:hint="eastAsia" w:ascii="仿宋_GB2312" w:eastAsia="仿宋_GB2312"/>
          <w:color w:val="000000"/>
          <w:sz w:val="32"/>
          <w:szCs w:val="32"/>
        </w:rPr>
        <w:t>全部项目支出预算的100%。</w:t>
      </w:r>
    </w:p>
    <w:p>
      <w:pPr>
        <w:spacing w:line="560" w:lineRule="exact"/>
        <w:ind w:firstLine="480" w:firstLineChars="150"/>
        <w:rPr>
          <w:rFonts w:ascii="楷体_GB2312" w:eastAsia="楷体_GB2312"/>
          <w:color w:val="000000"/>
          <w:sz w:val="32"/>
          <w:szCs w:val="32"/>
        </w:rPr>
      </w:pPr>
      <w:r>
        <w:rPr>
          <w:rFonts w:hint="eastAsia" w:ascii="楷体_GB2312" w:eastAsia="楷体_GB2312"/>
          <w:color w:val="000000"/>
          <w:sz w:val="32"/>
          <w:szCs w:val="32"/>
        </w:rPr>
        <w:t>（五）重点行政事业性收费情况说明</w:t>
      </w:r>
    </w:p>
    <w:p>
      <w:pPr>
        <w:spacing w:line="560" w:lineRule="exact"/>
        <w:ind w:firstLine="480" w:firstLineChars="150"/>
        <w:rPr>
          <w:rFonts w:ascii="仿宋_GB2312" w:eastAsia="仿宋_GB2312"/>
          <w:color w:val="000000"/>
          <w:sz w:val="32"/>
          <w:szCs w:val="32"/>
        </w:rPr>
      </w:pPr>
      <w:r>
        <w:rPr>
          <w:rFonts w:hint="eastAsia" w:ascii="仿宋_GB2312" w:eastAsia="仿宋_GB2312"/>
          <w:color w:val="000000"/>
          <w:sz w:val="32"/>
          <w:szCs w:val="32"/>
        </w:rPr>
        <w:t>本单位2021年无重点行政事业性收费</w:t>
      </w:r>
      <w:r>
        <w:rPr>
          <w:rFonts w:hint="eastAsia" w:ascii="仿宋_GB2312" w:eastAsia="仿宋_GB2312"/>
          <w:color w:val="000000"/>
          <w:sz w:val="32"/>
          <w:szCs w:val="32"/>
          <w:lang w:eastAsia="zh-CN"/>
        </w:rPr>
        <w:t>。</w:t>
      </w:r>
    </w:p>
    <w:p>
      <w:pPr>
        <w:spacing w:line="560" w:lineRule="exact"/>
        <w:ind w:firstLine="480" w:firstLineChars="150"/>
        <w:rPr>
          <w:rFonts w:ascii="楷体_GB2312" w:eastAsia="楷体_GB2312"/>
          <w:color w:val="000000"/>
          <w:sz w:val="32"/>
          <w:szCs w:val="32"/>
        </w:rPr>
      </w:pPr>
      <w:r>
        <w:rPr>
          <w:rFonts w:hint="eastAsia" w:ascii="楷体_GB2312" w:eastAsia="楷体_GB2312"/>
          <w:color w:val="000000"/>
          <w:sz w:val="32"/>
          <w:szCs w:val="32"/>
        </w:rPr>
        <w:t>（六）国有资本经营预算财政拨款情况说明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本</w:t>
      </w:r>
      <w:r>
        <w:rPr>
          <w:rFonts w:ascii="仿宋_GB2312" w:eastAsia="仿宋_GB2312"/>
          <w:color w:val="000000"/>
          <w:sz w:val="32"/>
          <w:szCs w:val="32"/>
        </w:rPr>
        <w:t>单位</w:t>
      </w:r>
      <w:r>
        <w:rPr>
          <w:rFonts w:hint="eastAsia" w:ascii="仿宋_GB2312" w:eastAsia="仿宋_GB2312"/>
          <w:color w:val="000000"/>
          <w:sz w:val="32"/>
          <w:szCs w:val="32"/>
        </w:rPr>
        <w:t>2021年无国有资本经营预算财政拨款安排的预算</w:t>
      </w:r>
      <w:r>
        <w:rPr>
          <w:rFonts w:hint="eastAsia" w:ascii="仿宋_GB2312" w:eastAsia="仿宋_GB2312"/>
          <w:color w:val="000000"/>
          <w:sz w:val="32"/>
          <w:szCs w:val="32"/>
          <w:lang w:eastAsia="zh-CN"/>
        </w:rPr>
        <w:t>。</w:t>
      </w:r>
    </w:p>
    <w:p>
      <w:pPr>
        <w:spacing w:line="560" w:lineRule="exact"/>
        <w:ind w:firstLine="480" w:firstLineChars="150"/>
        <w:rPr>
          <w:rFonts w:ascii="楷体_GB2312" w:eastAsia="楷体_GB2312"/>
          <w:color w:val="000000"/>
          <w:sz w:val="32"/>
          <w:szCs w:val="32"/>
        </w:rPr>
      </w:pPr>
      <w:r>
        <w:rPr>
          <w:rFonts w:hint="eastAsia" w:ascii="楷体_GB2312" w:eastAsia="楷体_GB2312"/>
          <w:color w:val="000000"/>
          <w:sz w:val="32"/>
          <w:szCs w:val="32"/>
        </w:rPr>
        <w:t>（七）国有资产占用情况说明</w:t>
      </w:r>
    </w:p>
    <w:p>
      <w:pPr>
        <w:spacing w:line="560" w:lineRule="exact"/>
        <w:ind w:firstLine="640" w:firstLineChars="200"/>
        <w:rPr>
          <w:rFonts w:hint="eastAsia" w:ascii="仿宋_GB2312" w:eastAsia="仿宋_GB2312"/>
          <w:color w:val="000000"/>
          <w:sz w:val="32"/>
          <w:szCs w:val="32"/>
          <w:highlight w:val="none"/>
        </w:rPr>
      </w:pPr>
      <w:r>
        <w:rPr>
          <w:rFonts w:hint="eastAsia" w:ascii="仿宋_GB2312" w:eastAsia="仿宋_GB2312"/>
          <w:color w:val="000000"/>
          <w:sz w:val="32"/>
          <w:szCs w:val="32"/>
          <w:highlight w:val="none"/>
        </w:rPr>
        <w:t>截至2020年底，首都师范大学共有车辆</w:t>
      </w:r>
      <w:r>
        <w:rPr>
          <w:rFonts w:hint="eastAsia" w:ascii="仿宋_GB2312" w:eastAsia="仿宋_GB2312"/>
          <w:color w:val="000000"/>
          <w:sz w:val="32"/>
          <w:szCs w:val="32"/>
          <w:highlight w:val="none"/>
          <w:lang w:val="en-US" w:eastAsia="zh-CN"/>
        </w:rPr>
        <w:t>68台</w:t>
      </w:r>
      <w:r>
        <w:rPr>
          <w:rFonts w:hint="eastAsia" w:ascii="仿宋_GB2312" w:eastAsia="仿宋_GB2312"/>
          <w:color w:val="000000"/>
          <w:sz w:val="32"/>
          <w:szCs w:val="32"/>
          <w:highlight w:val="none"/>
        </w:rPr>
        <w:t>，</w:t>
      </w:r>
      <w:r>
        <w:rPr>
          <w:rFonts w:hint="eastAsia" w:ascii="仿宋_GB2312" w:eastAsia="仿宋_GB2312"/>
          <w:color w:val="000000"/>
          <w:sz w:val="32"/>
          <w:szCs w:val="32"/>
          <w:highlight w:val="none"/>
          <w:lang w:val="en-US" w:eastAsia="zh-CN"/>
        </w:rPr>
        <w:t>1905.48</w:t>
      </w:r>
      <w:r>
        <w:rPr>
          <w:rFonts w:hint="eastAsia"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；单位价值</w:t>
      </w:r>
      <w:r>
        <w:rPr>
          <w:rFonts w:hint="eastAsia" w:ascii="仿宋_GB2312" w:eastAsia="仿宋_GB2312"/>
          <w:color w:val="000000"/>
          <w:sz w:val="32"/>
          <w:szCs w:val="32"/>
          <w:highlight w:val="none"/>
          <w:lang w:val="en-US" w:eastAsia="zh-CN"/>
        </w:rPr>
        <w:t>50万元以上的通用设备</w:t>
      </w:r>
      <w:r>
        <w:rPr>
          <w:rFonts w:hint="eastAsia" w:ascii="仿宋_GB2312" w:eastAsia="仿宋_GB2312"/>
          <w:color w:val="000000"/>
          <w:sz w:val="32"/>
          <w:szCs w:val="32"/>
          <w:highlight w:val="none"/>
        </w:rPr>
        <w:t>374</w:t>
      </w:r>
      <w:r>
        <w:rPr>
          <w:rFonts w:hint="eastAsia" w:ascii="仿宋_GB2312" w:eastAsia="仿宋_GB2312"/>
          <w:color w:val="000000"/>
          <w:sz w:val="32"/>
          <w:szCs w:val="32"/>
          <w:highlight w:val="none"/>
          <w:lang w:eastAsia="zh-CN"/>
        </w:rPr>
        <w:t>台，</w:t>
      </w:r>
      <w:r>
        <w:rPr>
          <w:rFonts w:hint="eastAsia" w:ascii="仿宋_GB2312" w:eastAsia="仿宋_GB2312"/>
          <w:color w:val="000000"/>
          <w:sz w:val="32"/>
          <w:szCs w:val="32"/>
          <w:highlight w:val="none"/>
        </w:rPr>
        <w:t>40002.83万元</w:t>
      </w:r>
      <w:r>
        <w:rPr>
          <w:rFonts w:hint="eastAsia" w:ascii="仿宋_GB2312" w:eastAsia="仿宋_GB2312"/>
          <w:color w:val="000000"/>
          <w:sz w:val="32"/>
          <w:szCs w:val="32"/>
          <w:highlight w:val="none"/>
          <w:lang w:eastAsia="zh-CN"/>
        </w:rPr>
        <w:t>，单位价值</w:t>
      </w:r>
      <w:r>
        <w:rPr>
          <w:rFonts w:hint="eastAsia" w:ascii="仿宋_GB2312" w:eastAsia="仿宋_GB2312"/>
          <w:color w:val="000000"/>
          <w:sz w:val="32"/>
          <w:szCs w:val="32"/>
          <w:highlight w:val="none"/>
          <w:lang w:val="en-US" w:eastAsia="zh-CN"/>
        </w:rPr>
        <w:t>100万元以上的</w:t>
      </w:r>
      <w:r>
        <w:rPr>
          <w:rFonts w:hint="eastAsia" w:ascii="仿宋_GB2312" w:eastAsia="仿宋_GB2312"/>
          <w:color w:val="000000"/>
          <w:sz w:val="32"/>
          <w:szCs w:val="32"/>
          <w:highlight w:val="none"/>
        </w:rPr>
        <w:t>专用设备26</w:t>
      </w:r>
      <w:r>
        <w:rPr>
          <w:rFonts w:hint="eastAsia" w:ascii="仿宋_GB2312" w:eastAsia="仿宋_GB2312"/>
          <w:color w:val="000000"/>
          <w:sz w:val="32"/>
          <w:szCs w:val="32"/>
          <w:highlight w:val="none"/>
          <w:lang w:eastAsia="zh-CN"/>
        </w:rPr>
        <w:t>台，</w:t>
      </w:r>
      <w:r>
        <w:rPr>
          <w:rFonts w:hint="eastAsia" w:ascii="仿宋_GB2312" w:eastAsia="仿宋_GB2312"/>
          <w:color w:val="000000"/>
          <w:sz w:val="32"/>
          <w:szCs w:val="32"/>
          <w:highlight w:val="none"/>
        </w:rPr>
        <w:t>4093.93万元。</w:t>
      </w:r>
    </w:p>
    <w:p>
      <w:pPr>
        <w:spacing w:line="560" w:lineRule="exact"/>
        <w:ind w:firstLine="640" w:firstLineChars="200"/>
        <w:rPr>
          <w:rFonts w:ascii="仿宋_GB2312" w:eastAsia="仿宋_GB2312"/>
          <w:color w:val="000000"/>
          <w:sz w:val="32"/>
          <w:szCs w:val="32"/>
        </w:rPr>
      </w:pPr>
      <w:r>
        <w:rPr>
          <w:rFonts w:hint="eastAsia" w:ascii="楷体_GB2312" w:eastAsia="楷体_GB2312"/>
          <w:color w:val="000000"/>
          <w:sz w:val="32"/>
          <w:szCs w:val="32"/>
        </w:rPr>
        <w:t>（八）重点支出和重大投资项目情况说明</w:t>
      </w:r>
    </w:p>
    <w:p>
      <w:pPr>
        <w:numPr>
          <w:ilvl w:val="0"/>
          <w:numId w:val="0"/>
        </w:numPr>
        <w:spacing w:line="560" w:lineRule="exact"/>
        <w:ind w:firstLine="640" w:firstLineChars="200"/>
        <w:rPr>
          <w:rFonts w:hint="eastAsia" w:ascii="仿宋" w:hAnsi="仿宋" w:eastAsia="仿宋_GB2312" w:cs="仿宋"/>
          <w:color w:val="000000"/>
          <w:sz w:val="32"/>
          <w:szCs w:val="32"/>
          <w:lang w:val="en-US" w:eastAsia="zh-CN"/>
        </w:rPr>
      </w:pPr>
      <w:r>
        <w:rPr>
          <w:rFonts w:hint="eastAsia" w:ascii="仿宋_GB2312" w:eastAsia="仿宋_GB2312"/>
          <w:color w:val="000000"/>
          <w:sz w:val="32"/>
          <w:szCs w:val="32"/>
          <w:lang w:eastAsia="zh-CN"/>
        </w:rPr>
        <w:t>首都师范大学</w:t>
      </w:r>
      <w:r>
        <w:rPr>
          <w:rFonts w:hint="eastAsia" w:ascii="仿宋_GB2312" w:eastAsia="仿宋_GB2312"/>
          <w:color w:val="000000"/>
          <w:sz w:val="32"/>
          <w:szCs w:val="32"/>
        </w:rPr>
        <w:t>在项目经费中安排</w:t>
      </w:r>
      <w:r>
        <w:rPr>
          <w:rFonts w:hint="eastAsia" w:ascii="仿宋_GB2312" w:eastAsia="仿宋_GB2312"/>
          <w:color w:val="000000"/>
          <w:sz w:val="32"/>
          <w:szCs w:val="32"/>
          <w:lang w:eastAsia="zh-CN"/>
        </w:rPr>
        <w:t>了</w:t>
      </w:r>
      <w:r>
        <w:rPr>
          <w:rFonts w:hint="eastAsia" w:ascii="仿宋_GB2312" w:eastAsia="仿宋_GB2312"/>
          <w:color w:val="000000"/>
          <w:sz w:val="32"/>
          <w:szCs w:val="32"/>
        </w:rPr>
        <w:t>高精尖学科和一流专业项目</w:t>
      </w:r>
      <w:r>
        <w:rPr>
          <w:rFonts w:hint="eastAsia" w:ascii="仿宋_GB2312" w:eastAsia="仿宋_GB2312"/>
          <w:color w:val="000000"/>
          <w:sz w:val="32"/>
          <w:szCs w:val="32"/>
          <w:lang w:eastAsia="zh-CN"/>
        </w:rPr>
        <w:t>。</w:t>
      </w:r>
    </w:p>
    <w:p>
      <w:pPr>
        <w:numPr>
          <w:ilvl w:val="0"/>
          <w:numId w:val="0"/>
        </w:numPr>
        <w:spacing w:line="560" w:lineRule="exact"/>
        <w:ind w:firstLine="640" w:firstLineChars="200"/>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val="en-US" w:eastAsia="zh-CN"/>
        </w:rPr>
        <w:t>1.</w:t>
      </w:r>
      <w:r>
        <w:rPr>
          <w:rFonts w:hint="eastAsia" w:ascii="仿宋" w:hAnsi="仿宋" w:eastAsia="仿宋" w:cs="仿宋"/>
          <w:color w:val="000000"/>
          <w:sz w:val="32"/>
          <w:szCs w:val="32"/>
          <w:lang w:eastAsia="zh-CN"/>
        </w:rPr>
        <w:t>立项依据</w:t>
      </w:r>
    </w:p>
    <w:p>
      <w:pPr>
        <w:numPr>
          <w:ilvl w:val="0"/>
          <w:numId w:val="0"/>
        </w:numPr>
        <w:spacing w:line="560" w:lineRule="exact"/>
        <w:ind w:firstLine="640" w:firstLineChars="200"/>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为贯彻《国务院关于印发统筹推进世界一流大学和一流学科建设总体方案的通知》(国发〔2015〕64号)精神，落实《中共北京市委北京市人民政府〈关于统筹推进北京高等教育改革发展的若干意见〉的通知》(京发〔2018〕12号)提出的“加强高精尖学科建设，开展一流专业建设”的工作部署，市教委开展了面向在京高校的99个高精尖学科和100个一流专业建设，通过支持一批优势学科、提升一批特色学科、建设一批新兴交叉学科、繁荣一批人文社会学科，进一步推动高等学校学科建设水平提升;引导中央在京高校结合北京经济社会发展需要开展专业建设，推动市属高校整合办学资源，优化专业结构，强化优势特色，建成一批强势专业、行业急需专业、新兴交叉复合专业。</w:t>
      </w:r>
    </w:p>
    <w:p>
      <w:pPr>
        <w:numPr>
          <w:ilvl w:val="0"/>
          <w:numId w:val="0"/>
        </w:numPr>
        <w:spacing w:line="560" w:lineRule="exact"/>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　　2.绩效目标</w:t>
      </w:r>
    </w:p>
    <w:p>
      <w:pPr>
        <w:numPr>
          <w:ilvl w:val="0"/>
          <w:numId w:val="0"/>
        </w:numPr>
        <w:spacing w:line="560" w:lineRule="exact"/>
        <w:ind w:firstLine="640" w:firstLineChars="200"/>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通过高精尖学科建设，鼓励和引导高校优化学科布局结构，加强合作共建，瞄准学科发展前沿，创新学科组织模式，加强学科间交叉、渗透、融合，不断培育新的学科增长点，开展交叉学科人才培养，打造学术研究高地、技术创新平台和成果转化基地，提升北京高校学科建设、科学研究、人才培养和社会服务的能力与水平，持续为北京“四个中心”建设提供有力的科技和人才支撑。</w:t>
      </w:r>
    </w:p>
    <w:p>
      <w:pPr>
        <w:numPr>
          <w:ilvl w:val="0"/>
          <w:numId w:val="0"/>
        </w:numPr>
        <w:spacing w:line="560" w:lineRule="exact"/>
        <w:ind w:firstLine="640" w:firstLineChars="200"/>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通过一流专业建设，提高专业建设水平、提升人才培养质量，支持北京“四个中心”建设、提升“四个服务”水平，助力北京经济社会发展和十大高精尖产业建设。同时，发挥入选专业辐射带动作用，带动北京地区高校相同相近专业发展，形成高校专业合作建设长效机制，增强北京高等教育国际竞争力和影响力。</w:t>
      </w:r>
    </w:p>
    <w:p>
      <w:pPr>
        <w:numPr>
          <w:ilvl w:val="0"/>
          <w:numId w:val="0"/>
        </w:numPr>
        <w:spacing w:line="560" w:lineRule="exact"/>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　　3.预算安排</w:t>
      </w:r>
    </w:p>
    <w:p>
      <w:pPr>
        <w:numPr>
          <w:ilvl w:val="0"/>
          <w:numId w:val="0"/>
        </w:numPr>
        <w:spacing w:line="560" w:lineRule="exact"/>
        <w:ind w:firstLine="640" w:firstLineChars="200"/>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市教委会同市财政局印发了《北京高校“双一流”建设资金管理办法》(京财教育〔2018〕2201号)，按照总额保障、按需申报的原则，对项目资金安排滚动管理，2021年预算安排</w:t>
      </w:r>
      <w:r>
        <w:rPr>
          <w:rFonts w:hint="eastAsia" w:ascii="仿宋" w:hAnsi="仿宋" w:eastAsia="仿宋" w:cs="仿宋"/>
          <w:color w:val="000000"/>
          <w:sz w:val="32"/>
          <w:szCs w:val="32"/>
          <w:lang w:val="en-US" w:eastAsia="zh-CN"/>
        </w:rPr>
        <w:t>1797</w:t>
      </w:r>
      <w:r>
        <w:rPr>
          <w:rFonts w:hint="eastAsia" w:ascii="仿宋" w:hAnsi="仿宋" w:eastAsia="仿宋" w:cs="仿宋"/>
          <w:color w:val="000000"/>
          <w:sz w:val="32"/>
          <w:szCs w:val="32"/>
          <w:lang w:eastAsia="zh-CN"/>
        </w:rPr>
        <w:t>万元，其中高精尖学科</w:t>
      </w:r>
      <w:r>
        <w:rPr>
          <w:rFonts w:hint="eastAsia" w:ascii="仿宋" w:hAnsi="仿宋" w:eastAsia="仿宋" w:cs="仿宋"/>
          <w:color w:val="000000"/>
          <w:sz w:val="32"/>
          <w:szCs w:val="32"/>
          <w:lang w:val="en-US" w:eastAsia="zh-CN"/>
        </w:rPr>
        <w:t>1500</w:t>
      </w:r>
      <w:bookmarkStart w:id="0" w:name="_GoBack"/>
      <w:bookmarkEnd w:id="0"/>
      <w:r>
        <w:rPr>
          <w:rFonts w:hint="eastAsia" w:ascii="仿宋" w:hAnsi="仿宋" w:eastAsia="仿宋" w:cs="仿宋"/>
          <w:color w:val="000000"/>
          <w:sz w:val="32"/>
          <w:szCs w:val="32"/>
          <w:lang w:eastAsia="zh-CN"/>
        </w:rPr>
        <w:t>万元，一流专业</w:t>
      </w:r>
      <w:r>
        <w:rPr>
          <w:rFonts w:hint="eastAsia" w:ascii="仿宋" w:hAnsi="仿宋" w:eastAsia="仿宋" w:cs="仿宋"/>
          <w:color w:val="000000"/>
          <w:sz w:val="32"/>
          <w:szCs w:val="32"/>
          <w:lang w:val="en-US" w:eastAsia="zh-CN"/>
        </w:rPr>
        <w:t>297</w:t>
      </w:r>
      <w:r>
        <w:rPr>
          <w:rFonts w:hint="eastAsia" w:ascii="仿宋" w:hAnsi="仿宋" w:eastAsia="仿宋" w:cs="仿宋"/>
          <w:color w:val="000000"/>
          <w:sz w:val="32"/>
          <w:szCs w:val="32"/>
          <w:lang w:eastAsia="zh-CN"/>
        </w:rPr>
        <w:t>万元。</w:t>
      </w:r>
    </w:p>
    <w:p>
      <w:pPr>
        <w:numPr>
          <w:ilvl w:val="0"/>
          <w:numId w:val="0"/>
        </w:numPr>
        <w:spacing w:line="560" w:lineRule="exact"/>
        <w:ind w:firstLine="640" w:firstLineChars="200"/>
        <w:rPr>
          <w:rFonts w:hint="eastAsia" w:ascii="仿宋" w:hAnsi="仿宋" w:eastAsia="仿宋" w:cs="仿宋"/>
          <w:color w:val="000000"/>
          <w:sz w:val="32"/>
          <w:szCs w:val="32"/>
          <w:highlight w:val="yellow"/>
          <w:lang w:val="en-US" w:eastAsia="zh-CN"/>
        </w:rPr>
      </w:pPr>
      <w:r>
        <w:rPr>
          <w:rFonts w:hint="eastAsia" w:ascii="仿宋" w:hAnsi="仿宋" w:eastAsia="仿宋" w:cs="仿宋"/>
          <w:color w:val="000000"/>
          <w:sz w:val="32"/>
          <w:szCs w:val="32"/>
          <w:lang w:val="en-US" w:eastAsia="zh-CN"/>
        </w:rPr>
        <w:t>（1）高精尖学科建设经费1500万元，主要支持教育学、历史学、中国语言文学、马克思主义理论、艺术类学科群这五个学科建设，每个学科建设经费300万元。</w:t>
      </w:r>
    </w:p>
    <w:p>
      <w:pPr>
        <w:numPr>
          <w:ilvl w:val="0"/>
          <w:numId w:val="0"/>
        </w:numPr>
        <w:spacing w:line="560" w:lineRule="exact"/>
        <w:ind w:firstLine="640" w:firstLineChars="200"/>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首都师范大学教育学学科创始于1954年，著名教育家傅任敢先生是学科的奠基人。2006年获得教育学原理博士学位授予权，2010年获得教育学一级学科博士学位授予权，2012年获批北京市重点学科，2014年获批教育学博士后科研流动站，2017年获得教育博士专业学位授予权，2019年入选北京高校高精尖建设学科。特色研究方向： 现象学教育学、教师教育、教育政策与法律研究、现代学校制度与学校发展、教科书研究等。与国家教育发展研究中心深度共建，积极搭建服务于决策咨询与政策评估的国家级智库平台。在教育部第四轮学科评估中获得A-。学科建设绩效目标：进一步完善本科生教育导师制度，支持导师指导优秀本科生开展各类创新项目研究；实施智慧学习环境下的高校师范生人才培养，全面提升本-硕-博各阶段教师教育人才培养质量。依托技术变革，加强教育科研创新平台建设。凸显大学责任，发挥理论研究优势，服务首都基础教育发展。加强重点专业研究领域的国际科研究团队建设。</w:t>
      </w:r>
    </w:p>
    <w:p>
      <w:pPr>
        <w:numPr>
          <w:ilvl w:val="0"/>
          <w:numId w:val="0"/>
        </w:numPr>
        <w:spacing w:line="560" w:lineRule="exact"/>
        <w:ind w:firstLine="640" w:firstLineChars="200"/>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首都师范大学历史学学科含世界史、中国史两个一级学科，两个学科均创建于1954年。世界史学科1979年开始招收硕士生，1981年获得硕士学位授予权，1984年获得博士学位授予权， 中国史中的中国古代史学科于1984年获得硕士、博士学位授予权。2003年获得历史学一级学科博士学位授予权。1999年设立历史学博士后流动站。2011 年、2012年，中国史、世界史博士后流动站相继设立。在教育部第四轮学科评估中，世界史获得A-，中国史获得B+。学科建设绩效目标：继续支持教师进行国内学术交流、考察和调研，举办学术研讨会议，出版学术专著，聘请研究生完成助研和助管活动，聘请国内外专家进行项目论证，聘请高层次业内专家作为特聘教授参与学科建设和科学研究等。</w:t>
      </w:r>
    </w:p>
    <w:p>
      <w:pPr>
        <w:numPr>
          <w:ilvl w:val="0"/>
          <w:numId w:val="0"/>
        </w:numPr>
        <w:spacing w:line="560" w:lineRule="exact"/>
        <w:ind w:firstLine="640" w:firstLineChars="200"/>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首都师范大学中国语言文学学科1979年开始招收硕士研究生，1981年成为新时期以来国务院批准的第一批硕士学位授权点，1998年获得博士学位授予权。2000年获批中国语言文学博士后流动站。2003年获得中国语言文学一级学科博士学位授予权。在教育部第四轮学科评估中，中国语言文学获得A-，为北京市一级重点学科，所属二级学科中国古代文学为国家重点学科。2019年获批进入北京高校高精尖学科建设名单。学科建设绩效目标：中国语言文学一级学科跻身全国高校同类学科排名前列，在全国地方高校同类学科中排名第一，力争在下一轮学科评估中跻身A档学科，初步建成北京市属高校中国语言文学学术研究中心、基础语文教育研究和人才培养中心、中华优秀传统文化暨北京优秀文化研究和传播中心，为首都北京的“四个中心”建设做出突出贡献。</w:t>
      </w:r>
    </w:p>
    <w:p>
      <w:pPr>
        <w:numPr>
          <w:ilvl w:val="0"/>
          <w:numId w:val="0"/>
        </w:numPr>
        <w:spacing w:line="560" w:lineRule="exact"/>
        <w:ind w:firstLine="640" w:firstLineChars="200"/>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首都师范大学马克思主义理论学科拥有马克思主义理论一级学科博士学位和硕士学位授予权，首都师范大学是全国马克思主义理论学科创始单位之一，是北京市第一所拥有从本科到硕士、博士、博士后马克思主义理论人才完整培养体系的高校，2019年入选北京高校高精尖建设学科，本学科所在学院获批全国重点马克思主义学院，是全国马克思主义理论教学与研究的高地，是培养基础教育马克思主义理论人才的“工作母机”，是实现中小学与大学马克思主义理论人才贯通培养的重镇，在教育部第四轮学科评估中，马克思主义理论获得A-。学科建设绩效目标：力争在教育部第五轮学科评估中，保持前列；继续保持学科现有3个研究方向在全国的领先地位；构建全国独具特色的基础教育与大学教育贯通一体化的马克思主义理论人才的培养体系；国际交流和人才培养的国际化程度不断提升；重大理论的原创性与资政服务的实效性显著，服务北京“四个中心”建设取得重大进展。</w:t>
      </w:r>
    </w:p>
    <w:p>
      <w:pPr>
        <w:numPr>
          <w:ilvl w:val="0"/>
          <w:numId w:val="0"/>
        </w:numPr>
        <w:spacing w:line="560" w:lineRule="exact"/>
        <w:ind w:firstLine="640" w:firstLineChars="200"/>
        <w:rPr>
          <w:rFonts w:hint="eastAsia" w:ascii="仿宋" w:hAnsi="仿宋" w:eastAsia="仿宋" w:cs="仿宋"/>
          <w:color w:val="000000"/>
          <w:sz w:val="32"/>
          <w:szCs w:val="32"/>
          <w:highlight w:val="none"/>
          <w:lang w:eastAsia="zh-CN"/>
        </w:rPr>
      </w:pPr>
      <w:r>
        <w:rPr>
          <w:rFonts w:hint="eastAsia" w:ascii="仿宋" w:hAnsi="仿宋" w:eastAsia="仿宋" w:cs="仿宋"/>
          <w:color w:val="000000"/>
          <w:sz w:val="32"/>
          <w:szCs w:val="32"/>
          <w:lang w:eastAsia="zh-CN"/>
        </w:rPr>
        <w:t>首都师范大学艺术类学科群由美术学、音乐与舞蹈学两个一级学科组成。它包含了艺术教育、艺术创作与展演、艺术理论研究三个专业领域，涵盖了美术教育、音乐教育、舞蹈教育、中国画创作、油画创作、音乐创作、音乐表演、书法文化、中外美术史等16个研究方向。拥有美术学、音乐与舞蹈学两个博士点和一个美术学博士后流动站。其中，美术学和音乐学分别自1998年、2004年开始招收博士生，2012年招收舞蹈教育方向的博士生。在教育部第四轮学科评估中，美术学获得A-、音乐与舞蹈学获得B+。</w:t>
      </w:r>
      <w:r>
        <w:rPr>
          <w:rFonts w:hint="eastAsia" w:ascii="仿宋" w:hAnsi="仿宋" w:eastAsia="仿宋" w:cs="仿宋"/>
          <w:color w:val="000000"/>
          <w:sz w:val="32"/>
          <w:szCs w:val="32"/>
          <w:highlight w:val="none"/>
          <w:lang w:eastAsia="zh-CN"/>
        </w:rPr>
        <w:t>学科建设绩效目标：整合校内外艺术资源，在艺术实践、学术研究及服务政府决策咨询等方面形成一套稳定的工作机制、一支高水平的科研教学队伍、一系列特色化的学术与实践成果，在人才培养、科学研究与社会服务领域形成特色。围绕全国艺术学教育现状展开研讨，找准需要破解的难题。通过举办作品展演以及文化考察等各种学术活动,推动文化传承创新，培育和践行社会主义核心价值观。</w:t>
      </w:r>
    </w:p>
    <w:p>
      <w:pPr>
        <w:numPr>
          <w:ilvl w:val="0"/>
          <w:numId w:val="0"/>
        </w:numPr>
        <w:spacing w:line="560" w:lineRule="exact"/>
        <w:ind w:firstLine="640" w:firstLineChars="200"/>
        <w:rPr>
          <w:rFonts w:hint="eastAsia" w:ascii="仿宋" w:hAnsi="仿宋" w:eastAsia="仿宋" w:cs="仿宋"/>
          <w:color w:val="000000"/>
          <w:sz w:val="32"/>
          <w:szCs w:val="32"/>
          <w:highlight w:val="none"/>
          <w:lang w:val="en-US" w:eastAsia="zh-CN"/>
        </w:rPr>
      </w:pPr>
      <w:r>
        <w:rPr>
          <w:rFonts w:hint="eastAsia" w:ascii="仿宋" w:hAnsi="仿宋" w:eastAsia="仿宋" w:cs="仿宋"/>
          <w:color w:val="000000"/>
          <w:sz w:val="32"/>
          <w:szCs w:val="32"/>
          <w:highlight w:val="none"/>
          <w:lang w:val="en-US" w:eastAsia="zh-CN"/>
        </w:rPr>
        <w:t>（2）一流专业预算安排297万元，主要用于支持建设地理信息科学、小学教育、生物科学这三个北京市属高校重点建设一流专业，这三个专业分别于2019、2020年获评国家级一流专业建设点。学校将按照国家和北京市的一流专业建设标准推动这些专业的内涵建设，提高人才培养质量，服务北京市和国家的经济社会发展。主要建设目标：加强师资建设，提升教师教育教学水平；开展多渠道的国内外交流、聘请国内外名师来校或网上讲学；推动国际化培养，加强与国际优秀大学的合作；加强课程建设，形成系列具备“两度一性”、学生满意的金课；加强与社会企事业单位的协同育人，建立 “双导师”培养制度；加强实践平台的建设，提升实践教学的质量和水平，形成线上线下一体的实践教学支撑环境。</w:t>
      </w:r>
    </w:p>
    <w:p>
      <w:pPr>
        <w:numPr>
          <w:ilvl w:val="0"/>
          <w:numId w:val="0"/>
        </w:numPr>
        <w:spacing w:line="560" w:lineRule="exact"/>
        <w:ind w:firstLine="640" w:firstLineChars="200"/>
        <w:rPr>
          <w:rFonts w:hint="eastAsia" w:ascii="仿宋" w:hAnsi="仿宋" w:eastAsia="仿宋" w:cs="仿宋"/>
          <w:color w:val="000000"/>
          <w:sz w:val="32"/>
          <w:szCs w:val="32"/>
          <w:lang w:eastAsia="zh-CN"/>
        </w:rPr>
      </w:pPr>
    </w:p>
    <w:p>
      <w:pPr>
        <w:numPr>
          <w:ilvl w:val="0"/>
          <w:numId w:val="2"/>
        </w:numPr>
        <w:spacing w:line="560" w:lineRule="exact"/>
        <w:ind w:firstLine="640" w:firstLineChars="200"/>
        <w:rPr>
          <w:rFonts w:hint="eastAsia" w:ascii="黑体" w:hAnsi="黑体" w:eastAsia="黑体"/>
          <w:color w:val="000000"/>
          <w:sz w:val="32"/>
          <w:szCs w:val="32"/>
        </w:rPr>
      </w:pPr>
      <w:r>
        <w:rPr>
          <w:rFonts w:hint="eastAsia" w:ascii="黑体" w:hAnsi="黑体" w:eastAsia="黑体"/>
          <w:color w:val="000000"/>
          <w:sz w:val="32"/>
          <w:szCs w:val="32"/>
        </w:rPr>
        <w:t>名词解释</w:t>
      </w:r>
    </w:p>
    <w:p>
      <w:pPr>
        <w:numPr>
          <w:ilvl w:val="0"/>
          <w:numId w:val="0"/>
        </w:num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基本支出：指为保障机构正常运转、完成日常工作任务而发生的人员支出和公用支出。</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项目支出：指在基本支出之外为完成特定行政任务或事业发展目标所发生的支出。</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“三公”经费财政拨款预算数：指本单位当年单位预算安排的因公出国（境）费用、公务接待费、公务用车购置和运行维护费预算数。</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政府采购：各级国家机关、事业单位和团体组织，使用财政性资金采购依法制定的集中采购目录以内的或者采购限额标准以上的货物、工程和服务的行为，是规范财政支出管理和强化预算约束的有效措施。</w:t>
      </w:r>
    </w:p>
    <w:p>
      <w:pPr>
        <w:spacing w:line="560" w:lineRule="exact"/>
        <w:rPr>
          <w:rFonts w:ascii="仿宋_GB2312" w:eastAsia="仿宋_GB2312"/>
          <w:color w:val="000000"/>
          <w:sz w:val="32"/>
          <w:szCs w:val="32"/>
        </w:rPr>
      </w:pPr>
    </w:p>
    <w:p>
      <w:pPr>
        <w:spacing w:line="560" w:lineRule="exact"/>
        <w:rPr>
          <w:rFonts w:ascii="仿宋_GB2312" w:eastAsia="仿宋_GB2312"/>
          <w:color w:val="000000"/>
          <w:sz w:val="32"/>
          <w:szCs w:val="32"/>
        </w:rPr>
      </w:pPr>
    </w:p>
    <w:p>
      <w:pPr>
        <w:spacing w:line="560" w:lineRule="exact"/>
        <w:jc w:val="center"/>
        <w:rPr>
          <w:rFonts w:ascii="方正小标宋简体" w:eastAsia="方正小标宋简体"/>
          <w:color w:val="000000"/>
          <w:sz w:val="36"/>
          <w:szCs w:val="36"/>
        </w:rPr>
      </w:pPr>
      <w:r>
        <w:rPr>
          <w:rFonts w:hint="eastAsia" w:ascii="方正小标宋简体" w:eastAsia="方正小标宋简体"/>
          <w:color w:val="000000"/>
          <w:sz w:val="36"/>
          <w:szCs w:val="36"/>
        </w:rPr>
        <w:t>第二部分  2021年单位预算报表</w:t>
      </w:r>
    </w:p>
    <w:p>
      <w:pPr>
        <w:autoSpaceDE w:val="0"/>
        <w:autoSpaceDN w:val="0"/>
        <w:adjustRightInd w:val="0"/>
        <w:spacing w:line="560" w:lineRule="exact"/>
        <w:jc w:val="left"/>
        <w:rPr>
          <w:rFonts w:ascii="方正小标宋简体" w:eastAsia="方正小标宋简体"/>
          <w:color w:val="000000"/>
          <w:sz w:val="36"/>
          <w:szCs w:val="36"/>
        </w:rPr>
      </w:pPr>
    </w:p>
    <w:p>
      <w:r>
        <w:rPr>
          <w:rFonts w:hint="eastAsia" w:ascii="仿宋_GB2312" w:eastAsia="仿宋_GB2312"/>
          <w:color w:val="000000"/>
          <w:sz w:val="32"/>
          <w:szCs w:val="32"/>
        </w:rPr>
        <w:t>附件：</w:t>
      </w:r>
      <w:r>
        <w:rPr>
          <w:rFonts w:hint="eastAsia" w:ascii="仿宋_GB2312" w:eastAsia="仿宋_GB2312"/>
          <w:color w:val="000000"/>
          <w:sz w:val="32"/>
          <w:szCs w:val="32"/>
          <w:lang w:eastAsia="zh-CN"/>
        </w:rPr>
        <w:t>首都师范大学</w:t>
      </w:r>
      <w:r>
        <w:rPr>
          <w:rFonts w:hint="eastAsia" w:ascii="仿宋_GB2312" w:eastAsia="仿宋_GB2312"/>
          <w:color w:val="000000"/>
          <w:sz w:val="32"/>
          <w:szCs w:val="32"/>
        </w:rPr>
        <w:t>2021年度单位预算报表</w:t>
      </w:r>
      <w:r>
        <w:rPr>
          <w:rFonts w:hint="eastAsia" w:ascii="仿宋_GB2312" w:eastAsia="仿宋_GB2312" w:cs="宋体"/>
          <w:color w:val="000000"/>
          <w:kern w:val="0"/>
          <w:sz w:val="32"/>
          <w:szCs w:val="32"/>
          <w:lang w:val="zh-CN"/>
        </w:rPr>
        <w:t xml:space="preserve">  </w:t>
      </w:r>
    </w:p>
    <w:sectPr>
      <w:footerReference r:id="rId3" w:type="default"/>
      <w:pgSz w:w="11906" w:h="16838"/>
      <w:pgMar w:top="567" w:right="1800" w:bottom="567"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Droid Sans">
    <w:altName w:val="Times New Roman"/>
    <w:panose1 w:val="00000000000000000000"/>
    <w:charset w:val="00"/>
    <w:family w:val="auto"/>
    <w:pitch w:val="default"/>
    <w:sig w:usb0="00000000" w:usb1="00000000" w:usb2="00000000" w:usb3="00000000" w:csb0="00000000" w:csb1="00000000"/>
  </w:font>
  <w:font w:name="方正小标宋简体">
    <w:altName w:val="微软雅黑"/>
    <w:panose1 w:val="0201060103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H Ya 1gj">
    <w:altName w:val="宋体"/>
    <w:panose1 w:val="00000000000000000000"/>
    <w:charset w:val="86"/>
    <w:family w:val="roma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6</w:t>
    </w:r>
    <w:r>
      <w:rPr>
        <w:rFonts w:ascii="宋体" w:hAnsi="宋体"/>
        <w:sz w:val="28"/>
        <w:szCs w:val="28"/>
      </w:rPr>
      <w:fldChar w:fldCharType="end"/>
    </w:r>
  </w:p>
  <w:p>
    <w:pPr>
      <w:pStyle w:val="3"/>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68ED9"/>
    <w:multiLevelType w:val="singleLevel"/>
    <w:tmpl w:val="0DD68ED9"/>
    <w:lvl w:ilvl="0" w:tentative="0">
      <w:start w:val="2"/>
      <w:numFmt w:val="chineseCounting"/>
      <w:suff w:val="nothing"/>
      <w:lvlText w:val="（%1）"/>
      <w:lvlJc w:val="left"/>
      <w:rPr>
        <w:rFonts w:hint="eastAsia"/>
      </w:rPr>
    </w:lvl>
  </w:abstractNum>
  <w:abstractNum w:abstractNumId="1">
    <w:nsid w:val="450AFB1A"/>
    <w:multiLevelType w:val="singleLevel"/>
    <w:tmpl w:val="450AFB1A"/>
    <w:lvl w:ilvl="0" w:tentative="0">
      <w:start w:val="6"/>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542B"/>
    <w:rsid w:val="00023DE1"/>
    <w:rsid w:val="00035812"/>
    <w:rsid w:val="0014236C"/>
    <w:rsid w:val="0015457E"/>
    <w:rsid w:val="0027678F"/>
    <w:rsid w:val="00346FBE"/>
    <w:rsid w:val="00373F45"/>
    <w:rsid w:val="00374207"/>
    <w:rsid w:val="004512CE"/>
    <w:rsid w:val="00471CE7"/>
    <w:rsid w:val="004A1265"/>
    <w:rsid w:val="00590693"/>
    <w:rsid w:val="005D2DBD"/>
    <w:rsid w:val="00654509"/>
    <w:rsid w:val="006F343A"/>
    <w:rsid w:val="0079211A"/>
    <w:rsid w:val="008136D7"/>
    <w:rsid w:val="008236A1"/>
    <w:rsid w:val="0083542B"/>
    <w:rsid w:val="0089797D"/>
    <w:rsid w:val="009E2D15"/>
    <w:rsid w:val="00A7474F"/>
    <w:rsid w:val="00A867F7"/>
    <w:rsid w:val="00B750B5"/>
    <w:rsid w:val="00CB5F08"/>
    <w:rsid w:val="00CF3FED"/>
    <w:rsid w:val="00D06CE9"/>
    <w:rsid w:val="00DB0EA4"/>
    <w:rsid w:val="00E165B8"/>
    <w:rsid w:val="00E35892"/>
    <w:rsid w:val="00E36D60"/>
    <w:rsid w:val="00EA3D45"/>
    <w:rsid w:val="00F37E30"/>
    <w:rsid w:val="00F623DF"/>
    <w:rsid w:val="00FF0109"/>
    <w:rsid w:val="015E454A"/>
    <w:rsid w:val="03323837"/>
    <w:rsid w:val="05184377"/>
    <w:rsid w:val="05E705FB"/>
    <w:rsid w:val="065E7EBA"/>
    <w:rsid w:val="06FB2E17"/>
    <w:rsid w:val="07960AE1"/>
    <w:rsid w:val="09F95847"/>
    <w:rsid w:val="0B4C444C"/>
    <w:rsid w:val="0BCA700C"/>
    <w:rsid w:val="0D916BE3"/>
    <w:rsid w:val="0E2841B0"/>
    <w:rsid w:val="0F5500BC"/>
    <w:rsid w:val="112F00CE"/>
    <w:rsid w:val="124B5965"/>
    <w:rsid w:val="12BA1F73"/>
    <w:rsid w:val="16E34F69"/>
    <w:rsid w:val="192172E1"/>
    <w:rsid w:val="19881AF1"/>
    <w:rsid w:val="198C7DDF"/>
    <w:rsid w:val="1A0F7AB0"/>
    <w:rsid w:val="1CFD1F74"/>
    <w:rsid w:val="1F3E50DF"/>
    <w:rsid w:val="21067D3E"/>
    <w:rsid w:val="226E4D42"/>
    <w:rsid w:val="23B00A41"/>
    <w:rsid w:val="25204B66"/>
    <w:rsid w:val="283A59E6"/>
    <w:rsid w:val="28E07B67"/>
    <w:rsid w:val="28FF1D83"/>
    <w:rsid w:val="2A92062E"/>
    <w:rsid w:val="2B9C29CC"/>
    <w:rsid w:val="2BD75A14"/>
    <w:rsid w:val="2D065D79"/>
    <w:rsid w:val="2D85386F"/>
    <w:rsid w:val="2DB71DA3"/>
    <w:rsid w:val="2DBE067E"/>
    <w:rsid w:val="2DFE433A"/>
    <w:rsid w:val="2F020F41"/>
    <w:rsid w:val="2F394C8D"/>
    <w:rsid w:val="31AF748F"/>
    <w:rsid w:val="347C398D"/>
    <w:rsid w:val="35FC7D93"/>
    <w:rsid w:val="38EF271D"/>
    <w:rsid w:val="39C11EA7"/>
    <w:rsid w:val="3B7F32AD"/>
    <w:rsid w:val="3C0F046A"/>
    <w:rsid w:val="3D1C23BE"/>
    <w:rsid w:val="3EF600E2"/>
    <w:rsid w:val="3F822DC7"/>
    <w:rsid w:val="3F9E5D74"/>
    <w:rsid w:val="4033295E"/>
    <w:rsid w:val="405B1047"/>
    <w:rsid w:val="40A26DF6"/>
    <w:rsid w:val="41CE3602"/>
    <w:rsid w:val="42C278C0"/>
    <w:rsid w:val="451E368D"/>
    <w:rsid w:val="458F77A9"/>
    <w:rsid w:val="46F8197C"/>
    <w:rsid w:val="47E355F4"/>
    <w:rsid w:val="487F7A5A"/>
    <w:rsid w:val="48BB6156"/>
    <w:rsid w:val="499B7071"/>
    <w:rsid w:val="4DC361B2"/>
    <w:rsid w:val="4DDA1700"/>
    <w:rsid w:val="4EB54114"/>
    <w:rsid w:val="50825F8D"/>
    <w:rsid w:val="50934DE3"/>
    <w:rsid w:val="520A56DF"/>
    <w:rsid w:val="52BF22E9"/>
    <w:rsid w:val="538E3607"/>
    <w:rsid w:val="53B50B27"/>
    <w:rsid w:val="540D3275"/>
    <w:rsid w:val="556A24B0"/>
    <w:rsid w:val="572C4207"/>
    <w:rsid w:val="58C51255"/>
    <w:rsid w:val="593233CC"/>
    <w:rsid w:val="59660BE0"/>
    <w:rsid w:val="59E14DD9"/>
    <w:rsid w:val="59EC7789"/>
    <w:rsid w:val="5A460D05"/>
    <w:rsid w:val="5B117856"/>
    <w:rsid w:val="6094185B"/>
    <w:rsid w:val="60AA3E11"/>
    <w:rsid w:val="60F55134"/>
    <w:rsid w:val="65B13069"/>
    <w:rsid w:val="674B7D76"/>
    <w:rsid w:val="67E522A8"/>
    <w:rsid w:val="686C04F8"/>
    <w:rsid w:val="68A20945"/>
    <w:rsid w:val="6BA56FF7"/>
    <w:rsid w:val="6BE6403A"/>
    <w:rsid w:val="6CDD7F9C"/>
    <w:rsid w:val="6D7D14E5"/>
    <w:rsid w:val="709A2563"/>
    <w:rsid w:val="70C72C88"/>
    <w:rsid w:val="716C53F9"/>
    <w:rsid w:val="72A82167"/>
    <w:rsid w:val="72D466E2"/>
    <w:rsid w:val="738C56E8"/>
    <w:rsid w:val="74E3750B"/>
    <w:rsid w:val="75A2678A"/>
    <w:rsid w:val="76D66748"/>
    <w:rsid w:val="771C3688"/>
    <w:rsid w:val="77F017E4"/>
    <w:rsid w:val="788A2B3D"/>
    <w:rsid w:val="793576C2"/>
    <w:rsid w:val="7A9D65D5"/>
    <w:rsid w:val="7BDC1A73"/>
    <w:rsid w:val="7BE15CC0"/>
    <w:rsid w:val="7CE428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Droid Sans"/>
      <w:kern w:val="2"/>
      <w:sz w:val="21"/>
      <w:szCs w:val="24"/>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qFormat/>
    <w:uiPriority w:val="99"/>
    <w:rPr>
      <w:sz w:val="18"/>
      <w:szCs w:val="18"/>
    </w:rPr>
  </w:style>
  <w:style w:type="character" w:customStyle="1" w:styleId="8">
    <w:name w:val="页脚 Char"/>
    <w:basedOn w:val="5"/>
    <w:link w:val="3"/>
    <w:qFormat/>
    <w:uiPriority w:val="99"/>
    <w:rPr>
      <w:sz w:val="18"/>
      <w:szCs w:val="18"/>
    </w:rPr>
  </w:style>
  <w:style w:type="character" w:customStyle="1" w:styleId="9">
    <w:name w:val="批注框文本 Char"/>
    <w:basedOn w:val="5"/>
    <w:link w:val="2"/>
    <w:semiHidden/>
    <w:qFormat/>
    <w:uiPriority w:val="99"/>
    <w:rPr>
      <w:rFonts w:ascii="Times New Roman" w:hAnsi="Times New Roman" w:eastAsia="宋体" w:cs="Droid Sans"/>
      <w:sz w:val="18"/>
      <w:szCs w:val="18"/>
    </w:rPr>
  </w:style>
  <w:style w:type="character" w:customStyle="1" w:styleId="10">
    <w:name w:val="A0"/>
    <w:uiPriority w:val="99"/>
    <w:rPr>
      <w:rFonts w:cs="H Ya 1gj"/>
      <w:color w:val="221E1F"/>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348</Words>
  <Characters>1984</Characters>
  <Lines>16</Lines>
  <Paragraphs>4</Paragraphs>
  <TotalTime>118</TotalTime>
  <ScaleCrop>false</ScaleCrop>
  <LinksUpToDate>false</LinksUpToDate>
  <CharactersWithSpaces>2328</CharactersWithSpaces>
  <Application>WPS Office_11.1.0.7932_F1E327BC-269C-435d-A152-05C5408002CA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2021-02-22T05:53:00Z</dcterms:created>
  <dc:creator>刘伟奇</dc:creator>
  <cp:lastModifiedBy>cwc</cp:lastModifiedBy>
  <cp:lastPrinted>2021-03-10T05:41:00Z</cp:lastPrinted>
  <dcterms:modified xsi:type="dcterms:W3CDTF">2021-03-16T05:41:57Z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2052-11.1.0.7932</vt:lpwstr>
  </property>
</Properties>
</file>